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8E47" w14:textId="77777777" w:rsidR="00553A52" w:rsidRDefault="00553A52">
      <w:pPr>
        <w:spacing w:line="497" w:lineRule="auto"/>
        <w:ind w:right="1242"/>
        <w:jc w:val="right"/>
        <w:rPr>
          <w:rFonts w:ascii="Avenir" w:eastAsia="Avenir" w:hAnsi="Avenir" w:cs="Avenir"/>
          <w:i/>
          <w:iCs/>
          <w:sz w:val="20"/>
          <w:szCs w:val="20"/>
        </w:rPr>
      </w:pPr>
    </w:p>
    <w:p w14:paraId="155BEDF2" w14:textId="77777777" w:rsidR="00553A52" w:rsidRDefault="00553A52">
      <w:pPr>
        <w:spacing w:line="497" w:lineRule="auto"/>
        <w:ind w:right="1242"/>
        <w:jc w:val="right"/>
        <w:rPr>
          <w:rFonts w:ascii="Avenir" w:eastAsia="Avenir" w:hAnsi="Avenir" w:cs="Avenir"/>
          <w:i/>
          <w:iCs/>
          <w:sz w:val="20"/>
          <w:szCs w:val="20"/>
        </w:rPr>
      </w:pPr>
    </w:p>
    <w:p w14:paraId="02C42094" w14:textId="77777777" w:rsidR="00553A52" w:rsidRDefault="00553A52">
      <w:pPr>
        <w:spacing w:line="497" w:lineRule="auto"/>
        <w:ind w:right="1242"/>
        <w:jc w:val="right"/>
        <w:rPr>
          <w:rFonts w:ascii="Avenir" w:eastAsia="Avenir" w:hAnsi="Avenir" w:cs="Avenir"/>
          <w:i/>
          <w:iCs/>
          <w:sz w:val="20"/>
          <w:szCs w:val="20"/>
        </w:rPr>
      </w:pPr>
    </w:p>
    <w:p w14:paraId="39228211" w14:textId="77777777" w:rsidR="00553A52" w:rsidRDefault="00553A52">
      <w:pPr>
        <w:rPr>
          <w:rFonts w:ascii="Avenir" w:eastAsia="Avenir" w:hAnsi="Avenir" w:cs="Avenir"/>
        </w:rPr>
      </w:pPr>
    </w:p>
    <w:p w14:paraId="7BE497C6" w14:textId="77777777" w:rsidR="00553A52" w:rsidRDefault="00000000">
      <w:pPr>
        <w:rPr>
          <w:rFonts w:ascii="Avenir" w:eastAsia="Avenir" w:hAnsi="Avenir" w:cs="Avenir"/>
        </w:rPr>
      </w:pPr>
      <w:r>
        <w:rPr>
          <w:noProof/>
        </w:rPr>
        <mc:AlternateContent>
          <mc:Choice Requires="wps">
            <w:drawing>
              <wp:anchor distT="0" distB="0" distL="114300" distR="114300" simplePos="0" relativeHeight="251658240" behindDoc="0" locked="0" layoutInCell="1" hidden="0" allowOverlap="1" wp14:anchorId="0F421D4C" wp14:editId="766AAE8B">
                <wp:simplePos x="0" y="0"/>
                <wp:positionH relativeFrom="column">
                  <wp:posOffset>441643</wp:posOffset>
                </wp:positionH>
                <wp:positionV relativeFrom="paragraph">
                  <wp:posOffset>35878</wp:posOffset>
                </wp:positionV>
                <wp:extent cx="5624830" cy="1271270"/>
                <wp:effectExtent l="0" t="0" r="0" b="0"/>
                <wp:wrapSquare wrapText="bothSides" distT="0" distB="0" distL="114300" distR="114300"/>
                <wp:docPr id="1" name="Forma Livre: Forma 1"/>
                <wp:cNvGraphicFramePr/>
                <a:graphic xmlns:a="http://schemas.openxmlformats.org/drawingml/2006/main">
                  <a:graphicData uri="http://schemas.microsoft.com/office/word/2010/wordprocessingShape">
                    <wps:wsp>
                      <wps:cNvSpPr/>
                      <wps:spPr>
                        <a:xfrm>
                          <a:off x="2538348" y="3149128"/>
                          <a:ext cx="5615305" cy="1261745"/>
                        </a:xfrm>
                        <a:custGeom>
                          <a:avLst/>
                          <a:gdLst/>
                          <a:ahLst/>
                          <a:cxnLst/>
                          <a:rect l="l" t="t" r="r" b="b"/>
                          <a:pathLst>
                            <a:path w="5615305" h="1261745" extrusionOk="0">
                              <a:moveTo>
                                <a:pt x="0" y="0"/>
                              </a:moveTo>
                              <a:lnTo>
                                <a:pt x="0" y="1261745"/>
                              </a:lnTo>
                              <a:lnTo>
                                <a:pt x="5615305" y="1261745"/>
                              </a:lnTo>
                              <a:lnTo>
                                <a:pt x="5615305" y="0"/>
                              </a:lnTo>
                              <a:close/>
                            </a:path>
                          </a:pathLst>
                        </a:custGeom>
                        <a:noFill/>
                        <a:ln>
                          <a:noFill/>
                        </a:ln>
                      </wps:spPr>
                      <wps:txbx>
                        <w:txbxContent>
                          <w:p w14:paraId="6F698EEC" w14:textId="259CBF83" w:rsidR="00553A52" w:rsidRDefault="00000000" w:rsidP="00642041">
                            <w:pPr>
                              <w:spacing w:before="240" w:after="245" w:line="360" w:lineRule="auto"/>
                              <w:ind w:left="22"/>
                              <w:jc w:val="center"/>
                              <w:textDirection w:val="btLr"/>
                            </w:pPr>
                            <w:r>
                              <w:rPr>
                                <w:rFonts w:ascii="Avenir" w:eastAsia="Avenir" w:hAnsi="Avenir" w:cs="Avenir"/>
                                <w:b/>
                                <w:color w:val="000000"/>
                                <w:sz w:val="48"/>
                              </w:rPr>
                              <w:t>PRINCIPIOS E POLÍTICAS</w:t>
                            </w:r>
                          </w:p>
                        </w:txbxContent>
                      </wps:txbx>
                      <wps:bodyPr spcFirstLastPara="1" wrap="square" lIns="114300" tIns="0" rIns="114300" bIns="0" anchor="t" anchorCtr="0">
                        <a:noAutofit/>
                      </wps:bodyPr>
                    </wps:wsp>
                  </a:graphicData>
                </a:graphic>
              </wp:anchor>
            </w:drawing>
          </mc:Choice>
          <mc:Fallback>
            <w:pict>
              <v:shape w14:anchorId="0F421D4C" id="Forma Livre: Forma 1" o:spid="_x0000_s1026" style="position:absolute;margin-left:34.8pt;margin-top:2.85pt;width:442.9pt;height:100.1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615305,1261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sBIAIAAI8EAAAOAAAAZHJzL2Uyb0RvYy54bWysVNuO2jAQfa/Uf7D8XpJwK0WEVdUVVaVV&#10;F2m3H2Ach0R1PO7YkPD3HTsE2OWt6os9Y58M55wZs3roGs2OCl0NJufZKOVMGQlFbfY5//W6+bTg&#10;zHlhCqHBqJyflOMP648fVq1dqjFUoAuFjIoYt2xtzivv7TJJnKxUI9wIrDJ0WQI2wlOK+6RA0VL1&#10;RifjNJ0nLWBhEaRyjk4f+0u+jvXLUkn/XJZOeaZzTtx8XDGuu7Am65VY7lHYqpZnGuIfWDSiNvSj&#10;l1KPwgt2wPquVFNLBAelH0loEijLWqqogdRk6Ts1L5WwKmohc5y92OT+X1n58/hit0g2tNYtHYVB&#10;RVdiE3bix7qcj2eTxWRKnTzlfJJNv2TjRW+c6jyTBJjNs9kknXEmCZGN59nn6SwgkmspeXD+u4JY&#10;VhyfnO+dL4ZIVEMkOzOESP0LndOxc54z6hxyRp3b9QSs8OG7wDWErL3hUl2pMCKKhzCjz79D1wO+&#10;gaN6hfilDyJpOoh8nAiifb3V5h71VuKAGHYb6108ubNkwA37PX5gMSCkBqd6P4PMaOxFOrG9NdfA&#10;ptY6uqtNkHc5IGA4Sa6dDpHvdh2hQ7iD4rRF5qzc1Oj8k3B+K5DeQ8ZZS28k5+7PQaDiTP8wNIRZ&#10;Np2k4VXFjAJ8c7wbjoWRFVDrqIF9+M1T1rfBwNeDh7IO8xCZ9STOCU19FHt+oeFZ3eYRdf0fWf8F&#10;AAD//wMAUEsDBBQABgAIAAAAIQBwZwWh3AAAAAgBAAAPAAAAZHJzL2Rvd25yZXYueG1sTI+xTsNA&#10;DIZ3JN7hZCQ2eqGQlIQ4VUFiCROFDmzXnEkicr4od20DT4+ZwJv1//r8uVzPblBHmkLvGeF6kYAi&#10;brztuUV4e326ugMVomFrBs+E8EUB1tX5WWkK60/8QsdtbJVAOBQGoYtxLLQOTUfOhIUfiSX78JMz&#10;Udap1XYyJ4G7QS+TJNPO9CwXOjPSY0fN5/bgEG74Id/IPNe7JM2/yadc1++Ilxfz5h5UpDn+leFX&#10;X9ShEqe9P7ANakDI8kyaCOkKlMR5mt6C2iMshQi6KvX/B6ofAAAA//8DAFBLAQItABQABgAIAAAA&#10;IQC2gziS/gAAAOEBAAATAAAAAAAAAAAAAAAAAAAAAABbQ29udGVudF9UeXBlc10ueG1sUEsBAi0A&#10;FAAGAAgAAAAhADj9If/WAAAAlAEAAAsAAAAAAAAAAAAAAAAALwEAAF9yZWxzLy5yZWxzUEsBAi0A&#10;FAAGAAgAAAAhAKXCywEgAgAAjwQAAA4AAAAAAAAAAAAAAAAALgIAAGRycy9lMm9Eb2MueG1sUEsB&#10;Ai0AFAAGAAgAAAAhAHBnBaHcAAAACAEAAA8AAAAAAAAAAAAAAAAAegQAAGRycy9kb3ducmV2Lnht&#10;bFBLBQYAAAAABAAEAPMAAACDBQAAAAA=&#10;" adj="-11796480,,5400" path="m,l,1261745r5615305,l5615305,,,xe" filled="f" stroked="f">
                <v:stroke joinstyle="miter"/>
                <v:formulas/>
                <v:path arrowok="t" o:extrusionok="f" o:connecttype="custom" textboxrect="0,0,5615305,1261745"/>
                <v:textbox inset="9pt,0,9pt,0">
                  <w:txbxContent>
                    <w:p w14:paraId="6F698EEC" w14:textId="259CBF83" w:rsidR="00553A52" w:rsidRDefault="00000000" w:rsidP="00642041">
                      <w:pPr>
                        <w:spacing w:before="240" w:after="245" w:line="360" w:lineRule="auto"/>
                        <w:ind w:left="22"/>
                        <w:jc w:val="center"/>
                        <w:textDirection w:val="btLr"/>
                      </w:pPr>
                      <w:r>
                        <w:rPr>
                          <w:rFonts w:ascii="Avenir" w:eastAsia="Avenir" w:hAnsi="Avenir" w:cs="Avenir"/>
                          <w:b/>
                          <w:color w:val="000000"/>
                          <w:sz w:val="48"/>
                        </w:rPr>
                        <w:t>PRINCIPIOS E POLÍTICAS</w:t>
                      </w:r>
                    </w:p>
                  </w:txbxContent>
                </v:textbox>
                <w10:wrap type="square"/>
              </v:shape>
            </w:pict>
          </mc:Fallback>
        </mc:AlternateContent>
      </w:r>
    </w:p>
    <w:p w14:paraId="0B9F705B" w14:textId="77777777" w:rsidR="00553A52" w:rsidRDefault="00553A52">
      <w:pPr>
        <w:rPr>
          <w:rFonts w:ascii="Avenir" w:eastAsia="Avenir" w:hAnsi="Avenir" w:cs="Avenir"/>
        </w:rPr>
      </w:pPr>
    </w:p>
    <w:p w14:paraId="7EA61C69" w14:textId="77777777" w:rsidR="00553A52" w:rsidRDefault="00553A52">
      <w:pPr>
        <w:rPr>
          <w:rFonts w:ascii="Avenir" w:eastAsia="Avenir" w:hAnsi="Avenir" w:cs="Avenir"/>
        </w:rPr>
      </w:pPr>
    </w:p>
    <w:p w14:paraId="459CE1AE" w14:textId="77777777" w:rsidR="00553A52" w:rsidRDefault="00553A52">
      <w:pPr>
        <w:rPr>
          <w:rFonts w:ascii="Avenir" w:eastAsia="Avenir" w:hAnsi="Avenir" w:cs="Avenir"/>
        </w:rPr>
      </w:pPr>
    </w:p>
    <w:p w14:paraId="2E8A9BAA" w14:textId="77777777" w:rsidR="00553A52" w:rsidRDefault="00553A52">
      <w:pPr>
        <w:rPr>
          <w:rFonts w:ascii="Avenir" w:eastAsia="Avenir" w:hAnsi="Avenir" w:cs="Avenir"/>
        </w:rPr>
      </w:pPr>
    </w:p>
    <w:p w14:paraId="16829F3A" w14:textId="77777777" w:rsidR="00553A52" w:rsidRDefault="00553A52">
      <w:pPr>
        <w:rPr>
          <w:rFonts w:ascii="Avenir" w:eastAsia="Avenir" w:hAnsi="Avenir" w:cs="Avenir"/>
        </w:rPr>
      </w:pPr>
    </w:p>
    <w:p w14:paraId="2C233F13" w14:textId="77777777" w:rsidR="00553A52" w:rsidRDefault="00553A52">
      <w:pPr>
        <w:rPr>
          <w:rFonts w:ascii="Avenir" w:eastAsia="Avenir" w:hAnsi="Avenir" w:cs="Avenir"/>
        </w:rPr>
      </w:pPr>
    </w:p>
    <w:p w14:paraId="5F378EEC" w14:textId="77777777" w:rsidR="00553A52" w:rsidRDefault="00553A52">
      <w:pPr>
        <w:rPr>
          <w:rFonts w:ascii="Avenir" w:eastAsia="Avenir" w:hAnsi="Avenir" w:cs="Avenir"/>
        </w:rPr>
      </w:pPr>
    </w:p>
    <w:p w14:paraId="7172D776" w14:textId="77777777" w:rsidR="00553A52" w:rsidRDefault="00553A52">
      <w:pPr>
        <w:rPr>
          <w:rFonts w:ascii="Avenir" w:eastAsia="Avenir" w:hAnsi="Avenir" w:cs="Avenir"/>
        </w:rPr>
      </w:pPr>
    </w:p>
    <w:p w14:paraId="5DC0C100" w14:textId="77777777" w:rsidR="00553A52" w:rsidRDefault="00553A52">
      <w:pPr>
        <w:rPr>
          <w:rFonts w:ascii="Avenir" w:eastAsia="Avenir" w:hAnsi="Avenir" w:cs="Avenir"/>
        </w:rPr>
      </w:pPr>
    </w:p>
    <w:p w14:paraId="46B91602" w14:textId="77777777" w:rsidR="00553A52" w:rsidRDefault="00000000">
      <w:pPr>
        <w:rPr>
          <w:rFonts w:ascii="Avenir" w:eastAsia="Avenir" w:hAnsi="Avenir" w:cs="Avenir"/>
        </w:rPr>
      </w:pPr>
      <w:r>
        <w:br w:type="page"/>
      </w:r>
    </w:p>
    <w:p w14:paraId="458E31FA" w14:textId="77777777" w:rsidR="00553A52" w:rsidRDefault="00553A52">
      <w:pPr>
        <w:keepNext/>
        <w:keepLines/>
        <w:pBdr>
          <w:top w:val="nil"/>
          <w:left w:val="nil"/>
          <w:bottom w:val="nil"/>
          <w:right w:val="nil"/>
          <w:between w:val="nil"/>
        </w:pBdr>
        <w:spacing w:before="240" w:line="240" w:lineRule="auto"/>
        <w:rPr>
          <w:rFonts w:ascii="Avenir" w:eastAsia="Avenir" w:hAnsi="Avenir" w:cs="Avenir"/>
        </w:rPr>
      </w:pPr>
    </w:p>
    <w:p w14:paraId="7B202932" w14:textId="77777777" w:rsidR="00553A52" w:rsidRDefault="00000000">
      <w:pPr>
        <w:keepNext/>
        <w:keepLines/>
        <w:pBdr>
          <w:top w:val="nil"/>
          <w:left w:val="nil"/>
          <w:bottom w:val="nil"/>
          <w:right w:val="nil"/>
          <w:between w:val="nil"/>
        </w:pBdr>
        <w:spacing w:before="240" w:line="240" w:lineRule="auto"/>
        <w:rPr>
          <w:rFonts w:ascii="Avenir" w:eastAsia="Avenir" w:hAnsi="Avenir" w:cs="Avenir"/>
          <w:color w:val="233E70"/>
          <w:sz w:val="32"/>
          <w:szCs w:val="32"/>
        </w:rPr>
      </w:pPr>
      <w:r>
        <w:rPr>
          <w:rFonts w:ascii="Avenir" w:eastAsia="Avenir" w:hAnsi="Avenir" w:cs="Avenir"/>
          <w:color w:val="233E70"/>
          <w:sz w:val="32"/>
          <w:szCs w:val="32"/>
        </w:rPr>
        <w:t>Sumário</w:t>
      </w:r>
    </w:p>
    <w:sdt>
      <w:sdtPr>
        <w:id w:val="-976457816"/>
        <w:docPartObj>
          <w:docPartGallery w:val="Table of Contents"/>
          <w:docPartUnique/>
        </w:docPartObj>
      </w:sdtPr>
      <w:sdtContent>
        <w:p w14:paraId="1BD95A27" w14:textId="77777777" w:rsidR="00553A52" w:rsidRDefault="00000000">
          <w:pPr>
            <w:pBdr>
              <w:top w:val="nil"/>
              <w:left w:val="nil"/>
              <w:bottom w:val="nil"/>
              <w:right w:val="nil"/>
              <w:between w:val="nil"/>
            </w:pBdr>
            <w:tabs>
              <w:tab w:val="left" w:pos="440"/>
              <w:tab w:val="right" w:pos="9879"/>
            </w:tabs>
            <w:spacing w:before="240" w:after="100" w:line="360" w:lineRule="auto"/>
            <w:jc w:val="both"/>
            <w:rPr>
              <w:rFonts w:ascii="Avenir" w:eastAsia="Avenir" w:hAnsi="Avenir" w:cs="Avenir"/>
              <w:color w:val="000000"/>
            </w:rPr>
          </w:pPr>
          <w:r>
            <w:fldChar w:fldCharType="begin"/>
          </w:r>
          <w:r>
            <w:instrText xml:space="preserve"> TOC \h \u \z \t "Heading 1,1,Heading 2,2,Heading 3,3,"</w:instrText>
          </w:r>
          <w:r>
            <w:fldChar w:fldCharType="separate"/>
          </w:r>
          <w:hyperlink w:anchor="_p17c3fg178ry">
            <w:r w:rsidR="00553A52">
              <w:rPr>
                <w:rFonts w:ascii="Avenir" w:eastAsia="Avenir" w:hAnsi="Avenir" w:cs="Avenir"/>
                <w:color w:val="000000"/>
              </w:rPr>
              <w:t>1.</w:t>
            </w:r>
            <w:r w:rsidR="00553A52">
              <w:rPr>
                <w:rFonts w:ascii="Avenir" w:eastAsia="Avenir" w:hAnsi="Avenir" w:cs="Avenir"/>
                <w:color w:val="000000"/>
              </w:rPr>
              <w:tab/>
              <w:t>Princípios</w:t>
            </w:r>
            <w:r w:rsidR="00553A52">
              <w:rPr>
                <w:rFonts w:ascii="Avenir" w:eastAsia="Avenir" w:hAnsi="Avenir" w:cs="Avenir"/>
                <w:color w:val="000000"/>
              </w:rPr>
              <w:tab/>
              <w:t>3</w:t>
            </w:r>
          </w:hyperlink>
        </w:p>
        <w:p w14:paraId="7C644EB9" w14:textId="77777777" w:rsidR="00553A52" w:rsidRDefault="00553A52">
          <w:pPr>
            <w:pBdr>
              <w:top w:val="nil"/>
              <w:left w:val="nil"/>
              <w:bottom w:val="nil"/>
              <w:right w:val="nil"/>
              <w:between w:val="nil"/>
            </w:pBdr>
            <w:tabs>
              <w:tab w:val="left" w:pos="440"/>
              <w:tab w:val="right" w:pos="9879"/>
            </w:tabs>
            <w:spacing w:before="240" w:after="100" w:line="360" w:lineRule="auto"/>
            <w:jc w:val="both"/>
            <w:rPr>
              <w:rFonts w:ascii="Avenir" w:eastAsia="Avenir" w:hAnsi="Avenir" w:cs="Avenir"/>
              <w:color w:val="000000"/>
            </w:rPr>
          </w:pPr>
          <w:hyperlink w:anchor="_vwb1804f6dbx">
            <w:r>
              <w:rPr>
                <w:rFonts w:ascii="Avenir" w:eastAsia="Avenir" w:hAnsi="Avenir" w:cs="Avenir"/>
                <w:color w:val="000000"/>
              </w:rPr>
              <w:t>2.</w:t>
            </w:r>
            <w:r>
              <w:rPr>
                <w:rFonts w:ascii="Avenir" w:eastAsia="Avenir" w:hAnsi="Avenir" w:cs="Avenir"/>
                <w:color w:val="000000"/>
              </w:rPr>
              <w:tab/>
              <w:t>Políticas</w:t>
            </w:r>
            <w:r>
              <w:rPr>
                <w:rFonts w:ascii="Avenir" w:eastAsia="Avenir" w:hAnsi="Avenir" w:cs="Avenir"/>
                <w:color w:val="000000"/>
              </w:rPr>
              <w:tab/>
              <w:t>6</w:t>
            </w:r>
          </w:hyperlink>
        </w:p>
        <w:p w14:paraId="2F2D1721" w14:textId="77777777" w:rsidR="00553A52" w:rsidRDefault="00000000">
          <w:pPr>
            <w:spacing w:line="240" w:lineRule="auto"/>
            <w:ind w:firstLine="23"/>
            <w:rPr>
              <w:rFonts w:ascii="Avenir" w:eastAsia="Avenir" w:hAnsi="Avenir" w:cs="Avenir"/>
            </w:rPr>
          </w:pPr>
          <w:r>
            <w:fldChar w:fldCharType="end"/>
          </w:r>
        </w:p>
      </w:sdtContent>
    </w:sdt>
    <w:p w14:paraId="6FDD13A5" w14:textId="77777777" w:rsidR="00553A52" w:rsidRDefault="00000000">
      <w:pPr>
        <w:spacing w:after="160" w:line="259" w:lineRule="auto"/>
        <w:rPr>
          <w:rFonts w:ascii="Avenir" w:eastAsia="Avenir" w:hAnsi="Avenir" w:cs="Avenir"/>
        </w:rPr>
      </w:pPr>
      <w:r>
        <w:br w:type="page"/>
      </w:r>
    </w:p>
    <w:p w14:paraId="0F4785CC" w14:textId="77777777" w:rsidR="00553A52" w:rsidRDefault="00000000">
      <w:pPr>
        <w:pStyle w:val="Ttulo1"/>
        <w:numPr>
          <w:ilvl w:val="0"/>
          <w:numId w:val="1"/>
        </w:numPr>
        <w:ind w:firstLine="0"/>
        <w:rPr>
          <w:rFonts w:ascii="Avenir" w:eastAsia="Avenir" w:hAnsi="Avenir" w:cs="Avenir"/>
        </w:rPr>
      </w:pPr>
      <w:bookmarkStart w:id="0" w:name="_p17c3fg178ry" w:colFirst="0" w:colLast="0"/>
      <w:bookmarkEnd w:id="0"/>
      <w:r>
        <w:rPr>
          <w:rFonts w:ascii="Avenir" w:eastAsia="Avenir" w:hAnsi="Avenir" w:cs="Avenir"/>
        </w:rPr>
        <w:lastRenderedPageBreak/>
        <w:t>Princípios</w:t>
      </w:r>
    </w:p>
    <w:p w14:paraId="45E4A978" w14:textId="77777777" w:rsidR="00553A52" w:rsidRDefault="00000000">
      <w:pPr>
        <w:rPr>
          <w:rFonts w:ascii="Avenir" w:eastAsia="Avenir" w:hAnsi="Avenir" w:cs="Avenir"/>
        </w:rPr>
      </w:pPr>
      <w:r>
        <w:rPr>
          <w:rFonts w:ascii="Avenir" w:eastAsia="Avenir" w:hAnsi="Avenir" w:cs="Avenir"/>
        </w:rPr>
        <w:t>São elementos mais filosóficos que guiam e são a base para a cultura da organização orientada aos dados e na sua governança e gestão.</w:t>
      </w:r>
    </w:p>
    <w:p w14:paraId="70462992" w14:textId="77777777" w:rsidR="00553A52" w:rsidRDefault="00000000">
      <w:pPr>
        <w:rPr>
          <w:rFonts w:ascii="Avenir" w:eastAsia="Avenir" w:hAnsi="Avenir" w:cs="Avenir"/>
        </w:rPr>
      </w:pPr>
      <w:r>
        <w:rPr>
          <w:rFonts w:ascii="Avenir" w:eastAsia="Avenir" w:hAnsi="Avenir" w:cs="Avenir"/>
        </w:rPr>
        <w:t>Exemplos de Princípios:</w:t>
      </w:r>
    </w:p>
    <w:p w14:paraId="4EB5C318" w14:textId="77777777" w:rsidR="00553A52" w:rsidRDefault="00000000">
      <w:pPr>
        <w:numPr>
          <w:ilvl w:val="0"/>
          <w:numId w:val="2"/>
        </w:numPr>
        <w:pBdr>
          <w:top w:val="nil"/>
          <w:left w:val="nil"/>
          <w:bottom w:val="nil"/>
          <w:right w:val="nil"/>
          <w:between w:val="nil"/>
        </w:pBdr>
        <w:spacing w:before="240" w:line="360" w:lineRule="auto"/>
        <w:jc w:val="both"/>
      </w:pPr>
      <w:r>
        <w:rPr>
          <w:rFonts w:ascii="Avenir" w:eastAsia="Avenir" w:hAnsi="Avenir" w:cs="Avenir"/>
          <w:color w:val="000000"/>
        </w:rPr>
        <w:t>Dado é um ativo e, portanto, deverá haver responsabilidade formal e final sobre eles (</w:t>
      </w:r>
      <w:r>
        <w:rPr>
          <w:rFonts w:ascii="Avenir" w:eastAsia="Avenir" w:hAnsi="Avenir" w:cs="Avenir"/>
          <w:i/>
          <w:iCs/>
          <w:color w:val="000000"/>
        </w:rPr>
        <w:t>accountability</w:t>
      </w:r>
      <w:r>
        <w:rPr>
          <w:rFonts w:ascii="Avenir" w:eastAsia="Avenir" w:hAnsi="Avenir" w:cs="Avenir"/>
          <w:color w:val="000000"/>
        </w:rPr>
        <w:t>). Os dados e seus conteúdos de todos os tipos são considerados ativos, da mesma forma que os outros tipos como ativos físicos, materiais e financeiros, exigindo, dessa forma, procedimentos de controle organizacional similares.</w:t>
      </w:r>
    </w:p>
    <w:p w14:paraId="2E0A4FB4" w14:textId="77777777" w:rsidR="00553A52" w:rsidRDefault="00553A52">
      <w:pPr>
        <w:pBdr>
          <w:top w:val="nil"/>
          <w:left w:val="nil"/>
          <w:bottom w:val="nil"/>
          <w:right w:val="nil"/>
          <w:between w:val="nil"/>
        </w:pBdr>
        <w:spacing w:before="240" w:line="360" w:lineRule="auto"/>
        <w:ind w:left="707"/>
        <w:jc w:val="both"/>
        <w:rPr>
          <w:rFonts w:ascii="Avenir" w:eastAsia="Avenir" w:hAnsi="Avenir" w:cs="Avenir"/>
        </w:rPr>
      </w:pPr>
    </w:p>
    <w:p w14:paraId="5CA07A04"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A informação deverá vir de uma fonte autorizada, estar disponível, ser precisa, íntegra e sem ambiguidade, além de passível de ser compartilhada e catalogada (metadados). Soluções de dados manterão estrito alinhamento com os negócios da empresa, respondendo às suas necessidades e às requisições das áreas envolvidas.</w:t>
      </w:r>
    </w:p>
    <w:p w14:paraId="1375CC30"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29271406"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O valor do dado está no aspecto intrínseco que ele retorna para a empresa, agregando e melhorando os seus objetivos operacionais e negociais. A governança de dados deverá respaldar esse princípio.</w:t>
      </w:r>
    </w:p>
    <w:p w14:paraId="5B37E1B3"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9DA80B9"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A governança de dados é um programa de negócios e, como tal, suas definições formalmente aprovadas deverão governar a interação da TI com os dados, da mesma forma que a interação da área de negócios com esses mesmos ativos.</w:t>
      </w:r>
    </w:p>
    <w:p w14:paraId="1E88F3E1"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700BAD6"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A governança de dados é de responsabilidade compartilhada entre gestores de dados de áreas de negócios em parceria com profissionais de TI, que atuam nas diversas gerências de dados (Arquitetura, BD, DW/BI, Segurança etc.). A união lógica e funcional entre Governança e a Gerência dos dados forma o conceito maior de Gestão de Dados.</w:t>
      </w:r>
    </w:p>
    <w:p w14:paraId="420C4AC8"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6C9DA67B"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Cada programa de Governança e de Gerência de dados é único e deve-se levar sempre em conta as características específicas de cada organização e de sua cultura.</w:t>
      </w:r>
    </w:p>
    <w:p w14:paraId="7708B5FD"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243AAE1D"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lastRenderedPageBreak/>
        <w:t>Os melhores gestores de dados já existem e raramente são contratados. Devem ser escolhidos entre os que já estão envolvidos com dados nas suas respectivas áreas (SME) e demonstram interesse nessa nova forma de tratamento desses ativos.</w:t>
      </w:r>
    </w:p>
    <w:p w14:paraId="7A36441B"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EDFBB25"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A tomada de decisão compartilhada é a marca da Governança de Dados, envolvendo as diversas camadas definidas no seu modelo operacional.</w:t>
      </w:r>
    </w:p>
    <w:p w14:paraId="381B2D52"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5A66315"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Há uma separação implícita entre as funções de GD e de Gerência de Dados. O Comitê de Governança de Dados, o Comitê/Conselho de Gestores de Dados e as equipes de gestores realizam as responsabilidades “legislativas” (definem os Ps) e judiciárias (julgam sua devida aplicação). As equipes de Gerência de dados (Banco de dados, BI, Segurança, Qualidade, Operações etc.), em conjunto com os gestores de dados, realizam as funções executivas (aplicando, administrando, coordenando, servindo e protegendo os dados) por meio dos preceitos definidos pela Governança.</w:t>
      </w:r>
    </w:p>
    <w:p w14:paraId="5B33CA42"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6CE33791"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 xml:space="preserve">A organização deve definir o seu modelo operacional de GD, que deverá conter (em linhas gerais) uma camada executiva de apoio de alta gerência, que garante patrocínio, investimento etc.; um grupo que forma o Board de GD, composto pelos gerentes seniores, CDO, </w:t>
      </w:r>
      <w:r>
        <w:rPr>
          <w:rFonts w:ascii="Avenir" w:eastAsia="Avenir" w:hAnsi="Avenir" w:cs="Avenir"/>
          <w:i/>
          <w:iCs/>
          <w:color w:val="000000"/>
        </w:rPr>
        <w:t>owners</w:t>
      </w:r>
      <w:r>
        <w:rPr>
          <w:rFonts w:ascii="Avenir" w:eastAsia="Avenir" w:hAnsi="Avenir" w:cs="Avenir"/>
          <w:color w:val="000000"/>
        </w:rPr>
        <w:t xml:space="preserve"> de dados, que se posicionam no escalonamento final das pendências (</w:t>
      </w:r>
      <w:r>
        <w:rPr>
          <w:rFonts w:ascii="Avenir" w:eastAsia="Avenir" w:hAnsi="Avenir" w:cs="Avenir"/>
          <w:i/>
          <w:iCs/>
          <w:color w:val="000000"/>
        </w:rPr>
        <w:t>issues</w:t>
      </w:r>
      <w:r>
        <w:rPr>
          <w:rFonts w:ascii="Avenir" w:eastAsia="Avenir" w:hAnsi="Avenir" w:cs="Avenir"/>
          <w:color w:val="000000"/>
        </w:rPr>
        <w:t>), seguido por uma área tática, onde estão os líderes dos gestores de dados e, por último, a camada operacional onde se posicionam os gestores de dados de negócios e de TI. Ali também estão os Especialista (SME), alguns dos quais são transformados em gestores de dados, investidos das funções específicas de GD nas suas respetivas unidades de negócios. Um grupo de implantação de GD (Escritório de Dados) estará alinhado com essa camada, na condução das atividades do dia a dia.</w:t>
      </w:r>
    </w:p>
    <w:p w14:paraId="63D79D99"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61C5F463"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Cada empresa deve ter a sua estratégia de dados, como um guia para as atividades de Governança e de Gerência de Dados na organização. Normalmente, uma estratégia de dados tem os seguintes ingredientes:</w:t>
      </w:r>
    </w:p>
    <w:p w14:paraId="023D52D5"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Missão, o que se pretende que a organização seja, em termos de dados.</w:t>
      </w:r>
    </w:p>
    <w:p w14:paraId="059F7931"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Visão, a imagem do futuro.</w:t>
      </w:r>
    </w:p>
    <w:p w14:paraId="51F90F0A"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Objetivos gerais e específicos, com todos os aspectos baseados nos principais objetivos de dados do negócio.</w:t>
      </w:r>
    </w:p>
    <w:p w14:paraId="5AC2D2FB"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Escopo do programa estratégico de dados.</w:t>
      </w:r>
    </w:p>
    <w:p w14:paraId="7F24C85D"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lastRenderedPageBreak/>
        <w:t>Benefícios de negócios e eventuais lacunas identificadas no estado atual de tratamento de dados, via pesquisa ou análise de maturidade.</w:t>
      </w:r>
    </w:p>
    <w:p w14:paraId="4127882E"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Responsabilidades e papéis de alto nível e lista de envolvidos.</w:t>
      </w:r>
    </w:p>
    <w:p w14:paraId="24A011DF"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Escopo operacional da governança de dados.</w:t>
      </w:r>
    </w:p>
    <w:p w14:paraId="2BDA6497"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Abordagem usada para o desenvolvimento do programa de dados.</w:t>
      </w:r>
    </w:p>
    <w:p w14:paraId="7451C0C1"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Medidas e indicadores para acompanhamento do programa.</w:t>
      </w:r>
    </w:p>
    <w:p w14:paraId="7F5CAC63"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i/>
          <w:iCs/>
          <w:color w:val="000000"/>
        </w:rPr>
        <w:t>Roadmap</w:t>
      </w:r>
      <w:r>
        <w:rPr>
          <w:rFonts w:ascii="Avenir" w:eastAsia="Avenir" w:hAnsi="Avenir" w:cs="Avenir"/>
          <w:color w:val="000000"/>
        </w:rPr>
        <w:t xml:space="preserve"> de alto nível, com os principais passos a serem seguidos.</w:t>
      </w:r>
    </w:p>
    <w:p w14:paraId="214E50F8" w14:textId="77777777" w:rsidR="00553A52" w:rsidRDefault="00553A52">
      <w:pPr>
        <w:pBdr>
          <w:top w:val="nil"/>
          <w:left w:val="nil"/>
          <w:bottom w:val="nil"/>
          <w:right w:val="nil"/>
          <w:between w:val="nil"/>
        </w:pBdr>
        <w:spacing w:line="360" w:lineRule="auto"/>
        <w:ind w:left="1103"/>
        <w:jc w:val="both"/>
        <w:rPr>
          <w:rFonts w:ascii="Avenir" w:eastAsia="Avenir" w:hAnsi="Avenir" w:cs="Avenir"/>
        </w:rPr>
      </w:pPr>
    </w:p>
    <w:p w14:paraId="54850F70" w14:textId="77777777" w:rsidR="00553A52" w:rsidRDefault="00000000">
      <w:pPr>
        <w:numPr>
          <w:ilvl w:val="0"/>
          <w:numId w:val="2"/>
        </w:numPr>
        <w:pBdr>
          <w:top w:val="nil"/>
          <w:left w:val="nil"/>
          <w:bottom w:val="nil"/>
          <w:right w:val="nil"/>
          <w:between w:val="nil"/>
        </w:pBdr>
        <w:spacing w:after="245" w:line="360" w:lineRule="auto"/>
        <w:jc w:val="both"/>
      </w:pPr>
      <w:r>
        <w:rPr>
          <w:rFonts w:ascii="Avenir" w:eastAsia="Avenir" w:hAnsi="Avenir" w:cs="Avenir"/>
          <w:color w:val="000000"/>
        </w:rPr>
        <w:t>Com o crescimento dos conceitos de Big Data, Data Science e Inteligência Artificial, a empresa deverá estabelecer princípios éticos sobre utilização dos dados, preservando aspectos de privacidade, segurança, equidade e direitos, controlando o seu uso, a fim de evitar problemas neste patamar.</w:t>
      </w:r>
    </w:p>
    <w:p w14:paraId="0FAE1142" w14:textId="77777777" w:rsidR="00553A52" w:rsidRDefault="00000000">
      <w:pPr>
        <w:spacing w:after="160" w:line="259" w:lineRule="auto"/>
        <w:rPr>
          <w:rFonts w:ascii="Avenir" w:eastAsia="Avenir" w:hAnsi="Avenir" w:cs="Avenir"/>
        </w:rPr>
      </w:pPr>
      <w:r>
        <w:br w:type="page"/>
      </w:r>
    </w:p>
    <w:p w14:paraId="23D8D517" w14:textId="77777777" w:rsidR="00553A52" w:rsidRDefault="00000000">
      <w:pPr>
        <w:pStyle w:val="Ttulo1"/>
        <w:numPr>
          <w:ilvl w:val="0"/>
          <w:numId w:val="1"/>
        </w:numPr>
        <w:ind w:firstLine="0"/>
        <w:rPr>
          <w:rFonts w:ascii="Avenir" w:eastAsia="Avenir" w:hAnsi="Avenir" w:cs="Avenir"/>
        </w:rPr>
      </w:pPr>
      <w:bookmarkStart w:id="1" w:name="_vwb1804f6dbx" w:colFirst="0" w:colLast="0"/>
      <w:bookmarkEnd w:id="1"/>
      <w:r>
        <w:rPr>
          <w:rFonts w:ascii="Avenir" w:eastAsia="Avenir" w:hAnsi="Avenir" w:cs="Avenir"/>
        </w:rPr>
        <w:lastRenderedPageBreak/>
        <w:t>Políticas</w:t>
      </w:r>
    </w:p>
    <w:p w14:paraId="50738B1A" w14:textId="77777777" w:rsidR="00553A52" w:rsidRDefault="00000000">
      <w:pPr>
        <w:rPr>
          <w:rFonts w:ascii="Avenir" w:eastAsia="Avenir" w:hAnsi="Avenir" w:cs="Avenir"/>
        </w:rPr>
      </w:pPr>
      <w:r>
        <w:rPr>
          <w:rFonts w:ascii="Avenir" w:eastAsia="Avenir" w:hAnsi="Avenir" w:cs="Avenir"/>
        </w:rPr>
        <w:t>São regras objetivas, diretas e regulatórias, aplicáveis para ajustar comportamentos, reduzir riscos, definir responsabilidades etc. Podem advir de princípios.</w:t>
      </w:r>
    </w:p>
    <w:p w14:paraId="7BAC43AD" w14:textId="77777777" w:rsidR="00553A52" w:rsidRDefault="00000000">
      <w:pPr>
        <w:rPr>
          <w:rFonts w:ascii="Avenir" w:eastAsia="Avenir" w:hAnsi="Avenir" w:cs="Avenir"/>
        </w:rPr>
      </w:pPr>
      <w:r>
        <w:rPr>
          <w:rFonts w:ascii="Avenir" w:eastAsia="Avenir" w:hAnsi="Avenir" w:cs="Avenir"/>
        </w:rPr>
        <w:t>É importante que as políticas sejam criadas estritamente para alcançar controles objetivos, aplicáveis, usáveis e divulgados, evitando excessos e elementos burocráticos que geram impedimentos e desmotivação.</w:t>
      </w:r>
    </w:p>
    <w:p w14:paraId="1AAD3EE2" w14:textId="77777777" w:rsidR="00553A52" w:rsidRDefault="00553A52">
      <w:pPr>
        <w:rPr>
          <w:rFonts w:ascii="Avenir" w:eastAsia="Avenir" w:hAnsi="Avenir" w:cs="Avenir"/>
        </w:rPr>
      </w:pPr>
    </w:p>
    <w:p w14:paraId="03522179" w14:textId="77777777" w:rsidR="00553A52" w:rsidRDefault="00000000">
      <w:pPr>
        <w:rPr>
          <w:rFonts w:ascii="Avenir" w:eastAsia="Avenir" w:hAnsi="Avenir" w:cs="Avenir"/>
        </w:rPr>
      </w:pPr>
      <w:r>
        <w:rPr>
          <w:rFonts w:ascii="Avenir" w:eastAsia="Avenir" w:hAnsi="Avenir" w:cs="Avenir"/>
        </w:rPr>
        <w:t>As políticas devem ser criadas baseadas em processo simples e normalmente se originam de legislações vigentes e diretrizes organizacionais. Devem ser focadas em objetivos e políticas de negócios, objetivos de dados, objetivos de Governança e Gerência de dados e aspectos culturais e estruturais.</w:t>
      </w:r>
    </w:p>
    <w:p w14:paraId="00DAC95F" w14:textId="77777777" w:rsidR="00553A52" w:rsidRDefault="00000000">
      <w:pPr>
        <w:numPr>
          <w:ilvl w:val="0"/>
          <w:numId w:val="2"/>
        </w:numPr>
        <w:pBdr>
          <w:top w:val="nil"/>
          <w:left w:val="nil"/>
          <w:bottom w:val="nil"/>
          <w:right w:val="nil"/>
          <w:between w:val="nil"/>
        </w:pBdr>
        <w:spacing w:before="240" w:line="360" w:lineRule="auto"/>
        <w:jc w:val="both"/>
      </w:pPr>
      <w:r>
        <w:rPr>
          <w:rFonts w:ascii="Avenir" w:eastAsia="Avenir" w:hAnsi="Avenir" w:cs="Avenir"/>
          <w:color w:val="000000"/>
        </w:rPr>
        <w:t>Objetivos de negócios: Definir políticas para, na busca dos objetivos de negócios, reduzir riscos, envolvendo as áreas de segurança, compliance e regulação, dados sensíveis, relacionamentos com clientes e parceiros, sempre dentro de princípios éticos definidos.</w:t>
      </w:r>
    </w:p>
    <w:p w14:paraId="646BEDA5"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1B88C341"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Objetivos de dados: Políticas para prevenir o uso inadequado de dados, como replicações descontroladas, para garantir a captura, armazenamento, proteção, segurança e privacidade de dados, políticas para promover o entendimento e disponibilidade.</w:t>
      </w:r>
    </w:p>
    <w:p w14:paraId="68B7660F"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5ED3384C"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Objetivos de Governança e Gerência de Dados: Políticas para Governança, como corpo Legislativo e Judiciário dos dados da organização e para os aspectos de execução, associados com a TI.</w:t>
      </w:r>
    </w:p>
    <w:p w14:paraId="68239632"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3845ED28" w14:textId="77777777" w:rsidR="00553A52" w:rsidRDefault="00000000">
      <w:pPr>
        <w:numPr>
          <w:ilvl w:val="0"/>
          <w:numId w:val="2"/>
        </w:numPr>
        <w:pBdr>
          <w:top w:val="nil"/>
          <w:left w:val="nil"/>
          <w:bottom w:val="nil"/>
          <w:right w:val="nil"/>
          <w:between w:val="nil"/>
        </w:pBdr>
        <w:spacing w:after="245" w:line="360" w:lineRule="auto"/>
        <w:jc w:val="both"/>
      </w:pPr>
      <w:r>
        <w:rPr>
          <w:rFonts w:ascii="Avenir" w:eastAsia="Avenir" w:hAnsi="Avenir" w:cs="Avenir"/>
          <w:color w:val="000000"/>
        </w:rPr>
        <w:t>Políticas para os diferentes elementos que formam os processos de dados (corpos de conhecimento) como arquitetura de dados, desenvolvimento de dados, bancos de dados, Big Data, IoT, qualidade de dados, DW/BI, Segurança, Metadados e aplicação de inteligência artificial.</w:t>
      </w:r>
    </w:p>
    <w:p w14:paraId="6DA7EE12" w14:textId="77777777" w:rsidR="00553A52" w:rsidRDefault="00000000">
      <w:pPr>
        <w:rPr>
          <w:rFonts w:ascii="Avenir" w:eastAsia="Avenir" w:hAnsi="Avenir" w:cs="Avenir"/>
        </w:rPr>
      </w:pPr>
      <w:r>
        <w:rPr>
          <w:rFonts w:ascii="Avenir" w:eastAsia="Avenir" w:hAnsi="Avenir" w:cs="Avenir"/>
        </w:rPr>
        <w:t>Os dados básicos de uma política são identificação, definição (</w:t>
      </w:r>
      <w:r>
        <w:rPr>
          <w:rFonts w:ascii="Avenir" w:eastAsia="Avenir" w:hAnsi="Avenir" w:cs="Avenir"/>
          <w:i/>
          <w:iCs/>
        </w:rPr>
        <w:t>statement</w:t>
      </w:r>
      <w:r>
        <w:rPr>
          <w:rFonts w:ascii="Avenir" w:eastAsia="Avenir" w:hAnsi="Avenir" w:cs="Avenir"/>
        </w:rPr>
        <w:t>), objetivo e racional, escopo, aplicabilidade e exceções, monitorização, violações e escalonamento, papéis e responsabilidades, promulgação, validade e revisão, documentos anexos, procedimentos, caso haja, e contatos. O conteúdo da Política deverá ser adaptado para cada empresa.</w:t>
      </w:r>
    </w:p>
    <w:p w14:paraId="5E6520DF" w14:textId="77777777" w:rsidR="00553A52" w:rsidRDefault="00000000">
      <w:pPr>
        <w:rPr>
          <w:rFonts w:ascii="Avenir" w:eastAsia="Avenir" w:hAnsi="Avenir" w:cs="Avenir"/>
        </w:rPr>
      </w:pPr>
      <w:r>
        <w:rPr>
          <w:rFonts w:ascii="Avenir" w:eastAsia="Avenir" w:hAnsi="Avenir" w:cs="Avenir"/>
        </w:rPr>
        <w:t xml:space="preserve">Neste link tem um exemplo da </w:t>
      </w:r>
      <w:hyperlink r:id="rId7">
        <w:r w:rsidR="00553A52">
          <w:rPr>
            <w:rFonts w:ascii="Avenir" w:eastAsia="Avenir" w:hAnsi="Avenir" w:cs="Avenir"/>
            <w:color w:val="0563C1"/>
            <w:u w:val="single"/>
          </w:rPr>
          <w:t>Política de Governança de Dados da Sebrae elaborada em 2022</w:t>
        </w:r>
      </w:hyperlink>
      <w:r>
        <w:rPr>
          <w:rFonts w:ascii="Avenir" w:eastAsia="Avenir" w:hAnsi="Avenir" w:cs="Avenir"/>
        </w:rPr>
        <w:t>.</w:t>
      </w:r>
    </w:p>
    <w:p w14:paraId="68AB006C" w14:textId="77777777" w:rsidR="00553A52" w:rsidRDefault="00000000">
      <w:pPr>
        <w:rPr>
          <w:rFonts w:ascii="Avenir" w:eastAsia="Avenir" w:hAnsi="Avenir" w:cs="Avenir"/>
        </w:rPr>
      </w:pPr>
      <w:r>
        <w:rPr>
          <w:rFonts w:ascii="Avenir" w:eastAsia="Avenir" w:hAnsi="Avenir" w:cs="Avenir"/>
        </w:rPr>
        <w:t>Exemplos de políticas:</w:t>
      </w:r>
    </w:p>
    <w:p w14:paraId="033C2147" w14:textId="77777777" w:rsidR="00553A52" w:rsidRDefault="00553A52">
      <w:pPr>
        <w:rPr>
          <w:rFonts w:ascii="Avenir" w:eastAsia="Avenir" w:hAnsi="Avenir" w:cs="Avenir"/>
        </w:rPr>
      </w:pPr>
    </w:p>
    <w:p w14:paraId="34D565CE" w14:textId="77777777" w:rsidR="00553A52" w:rsidRDefault="00553A52">
      <w:pPr>
        <w:rPr>
          <w:rFonts w:ascii="Avenir" w:eastAsia="Avenir" w:hAnsi="Avenir" w:cs="Avenir"/>
        </w:rPr>
      </w:pPr>
    </w:p>
    <w:p w14:paraId="79AF4E7A" w14:textId="77777777" w:rsidR="00553A52" w:rsidRDefault="00000000">
      <w:pPr>
        <w:numPr>
          <w:ilvl w:val="0"/>
          <w:numId w:val="2"/>
        </w:numPr>
        <w:pBdr>
          <w:top w:val="nil"/>
          <w:left w:val="nil"/>
          <w:bottom w:val="nil"/>
          <w:right w:val="nil"/>
          <w:between w:val="nil"/>
        </w:pBdr>
        <w:spacing w:before="240" w:line="360" w:lineRule="auto"/>
        <w:jc w:val="both"/>
      </w:pPr>
      <w:r>
        <w:rPr>
          <w:rFonts w:ascii="Avenir" w:eastAsia="Avenir" w:hAnsi="Avenir" w:cs="Avenir"/>
          <w:color w:val="000000"/>
        </w:rPr>
        <w:t>Qualidade:</w:t>
      </w:r>
    </w:p>
    <w:p w14:paraId="55628978"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 xml:space="preserve">Toda a informação e os dados da empresa serão seletiva e gradativamente gerenciados e medidos em sua qualidade. A qualidade será consistentemente aferida para garantir que o dado será usado </w:t>
      </w:r>
      <w:r>
        <w:rPr>
          <w:rFonts w:ascii="Avenir" w:eastAsia="Avenir" w:hAnsi="Avenir" w:cs="Avenir"/>
          <w:color w:val="000000"/>
        </w:rPr>
        <w:lastRenderedPageBreak/>
        <w:t>no seu propósito definido. Haverá gestores de dados responsáveis pela integridade e qualidade dos dados e seus conteúdos ao longo das unidades organizacionais envolvidas no contexto de governança de dados.</w:t>
      </w:r>
    </w:p>
    <w:p w14:paraId="404090D8"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0801768E"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Colaboração no uso dos dados:</w:t>
      </w:r>
    </w:p>
    <w:p w14:paraId="3B2DCF06"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Dados organizacionais serão compartilhados como um recurso ao longo da empresa. Os dados deverão ter ownership e accountability definido, ou seja, uma área de negócios será responsável final pela sua definição, padronização, metadados, qualidade e regras de negócios, com gestores de dados (stewards) atuando com esses objetivos.</w:t>
      </w:r>
    </w:p>
    <w:p w14:paraId="676BDDD0"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30295D17"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Gerência de Risco:</w:t>
      </w:r>
    </w:p>
    <w:p w14:paraId="3DE4FDBE"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A Governança de Dados, via escritório de dados e o modelo operacional, acompanhará, com a área responsável pela regulação da empresa, a análise de riscos dos dados que exigem compliance, garantindo sua aderência com todas as leis federais, estaduais, municipais, estatutárias, políticas e regulações. Um acompanhamento apropriado e rigoroso será realizado para verificar essa compatibilidade (aderência). Aspectos relacionados à ética no uso dos dados serão acompanhados pela área de risco, principalmente em aplicações inferenciais de inteligência artificial.</w:t>
      </w:r>
    </w:p>
    <w:p w14:paraId="14E73951"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058EA35C"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Segurança:</w:t>
      </w:r>
    </w:p>
    <w:p w14:paraId="4C1DA61C" w14:textId="77777777" w:rsidR="00553A52" w:rsidRDefault="00000000">
      <w:pPr>
        <w:numPr>
          <w:ilvl w:val="1"/>
          <w:numId w:val="2"/>
        </w:numPr>
        <w:pBdr>
          <w:top w:val="nil"/>
          <w:left w:val="nil"/>
          <w:bottom w:val="nil"/>
          <w:right w:val="nil"/>
          <w:between w:val="nil"/>
        </w:pBdr>
        <w:spacing w:after="245" w:line="360" w:lineRule="auto"/>
        <w:jc w:val="both"/>
        <w:rPr>
          <w:rFonts w:ascii="Avenir" w:eastAsia="Avenir" w:hAnsi="Avenir" w:cs="Avenir"/>
        </w:rPr>
      </w:pPr>
      <w:r>
        <w:rPr>
          <w:rFonts w:ascii="Avenir" w:eastAsia="Avenir" w:hAnsi="Avenir" w:cs="Avenir"/>
          <w:color w:val="000000"/>
        </w:rPr>
        <w:t>Todas as senhas (passwords) deverão ser trocadas a cada três meses, com alteração completa de seu conteúdo e a proibição do uso das quatro últimas ocorrências.</w:t>
      </w:r>
    </w:p>
    <w:p w14:paraId="287A6806" w14:textId="77777777" w:rsidR="00553A52" w:rsidRDefault="00553A52">
      <w:pPr>
        <w:pBdr>
          <w:top w:val="nil"/>
          <w:left w:val="nil"/>
          <w:bottom w:val="nil"/>
          <w:right w:val="nil"/>
          <w:between w:val="nil"/>
        </w:pBdr>
        <w:spacing w:before="240" w:line="360" w:lineRule="auto"/>
        <w:jc w:val="both"/>
        <w:rPr>
          <w:rFonts w:ascii="Avenir" w:eastAsia="Avenir" w:hAnsi="Avenir" w:cs="Avenir"/>
        </w:rPr>
      </w:pPr>
    </w:p>
    <w:p w14:paraId="7AF57E93" w14:textId="77777777" w:rsidR="00553A52" w:rsidRDefault="00000000">
      <w:pPr>
        <w:numPr>
          <w:ilvl w:val="0"/>
          <w:numId w:val="2"/>
        </w:numPr>
        <w:pBdr>
          <w:top w:val="nil"/>
          <w:left w:val="nil"/>
          <w:bottom w:val="nil"/>
          <w:right w:val="nil"/>
          <w:between w:val="nil"/>
        </w:pBdr>
        <w:spacing w:before="240" w:line="360" w:lineRule="auto"/>
        <w:jc w:val="both"/>
      </w:pPr>
      <w:r>
        <w:rPr>
          <w:rFonts w:ascii="Avenir" w:eastAsia="Avenir" w:hAnsi="Avenir" w:cs="Avenir"/>
          <w:color w:val="000000"/>
        </w:rPr>
        <w:t>Privacidade:</w:t>
      </w:r>
    </w:p>
    <w:p w14:paraId="3705C9C9"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 xml:space="preserve">Os dados da empresa que estiverem sob o efeito regulatório do GDPR/LGPD, </w:t>
      </w:r>
      <w:r>
        <w:rPr>
          <w:rFonts w:ascii="Avenir" w:eastAsia="Avenir" w:hAnsi="Avenir" w:cs="Avenir"/>
          <w:i/>
          <w:iCs/>
          <w:color w:val="000000"/>
        </w:rPr>
        <w:t>General Data Protection Regulation</w:t>
      </w:r>
      <w:r>
        <w:rPr>
          <w:rFonts w:ascii="Avenir" w:eastAsia="Avenir" w:hAnsi="Avenir" w:cs="Avenir"/>
          <w:color w:val="000000"/>
        </w:rPr>
        <w:t xml:space="preserve">, da União Europeia ou LGPD do Brasil, deverão estar no controle estrito da governança de dados e de seus gestores responsáveis e merecerão um tratamento especializado, via CPO, </w:t>
      </w:r>
      <w:r>
        <w:rPr>
          <w:rFonts w:ascii="Avenir" w:eastAsia="Avenir" w:hAnsi="Avenir" w:cs="Avenir"/>
          <w:i/>
          <w:iCs/>
          <w:color w:val="000000"/>
        </w:rPr>
        <w:t>Chief Privacy Officer</w:t>
      </w:r>
      <w:r>
        <w:rPr>
          <w:rFonts w:ascii="Avenir" w:eastAsia="Avenir" w:hAnsi="Avenir" w:cs="Avenir"/>
          <w:color w:val="000000"/>
        </w:rPr>
        <w:t>, caso pertinente.</w:t>
      </w:r>
    </w:p>
    <w:p w14:paraId="741AEB93"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47CC5226"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Arquitetura de Dados:</w:t>
      </w:r>
    </w:p>
    <w:p w14:paraId="04785D71"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lastRenderedPageBreak/>
        <w:t>Dados organizacionais serão compartilhados como um recurso ao longo da empresa. Dado organizacional não é um recurso que pode ser possuído com exclusividade por áreas específicas da empresa.</w:t>
      </w:r>
    </w:p>
    <w:p w14:paraId="18A55F2B"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Todos os modelos de dados no nível lógico deverão estar compatíveis com os modelos conceituais organizacionais e deverão ser aprovados, segundo políticas definidas para tal.</w:t>
      </w:r>
    </w:p>
    <w:p w14:paraId="1B40A10E"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196F64EA"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Dados Mestres e Referencias:</w:t>
      </w:r>
    </w:p>
    <w:p w14:paraId="617F1BC7"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Os dados considerados Mestres e de Referências somente poderão ser modificados pelos Owners e/ou Gestores ou por exceção, por decisão da GD, via o Comitê de Gestores de Dados envolvidos nas áreas dos assuntos pertinentes.</w:t>
      </w:r>
    </w:p>
    <w:p w14:paraId="64599907" w14:textId="77777777" w:rsidR="00553A52" w:rsidRDefault="00553A52">
      <w:pPr>
        <w:pBdr>
          <w:top w:val="nil"/>
          <w:left w:val="nil"/>
          <w:bottom w:val="nil"/>
          <w:right w:val="nil"/>
          <w:between w:val="nil"/>
        </w:pBdr>
        <w:spacing w:line="360" w:lineRule="auto"/>
        <w:ind w:left="1103"/>
        <w:jc w:val="both"/>
        <w:rPr>
          <w:rFonts w:ascii="Avenir" w:eastAsia="Avenir" w:hAnsi="Avenir" w:cs="Avenir"/>
          <w:color w:val="000000"/>
        </w:rPr>
      </w:pPr>
    </w:p>
    <w:p w14:paraId="5C50856C" w14:textId="77777777" w:rsidR="00553A52" w:rsidRDefault="00000000">
      <w:pPr>
        <w:numPr>
          <w:ilvl w:val="0"/>
          <w:numId w:val="2"/>
        </w:numPr>
        <w:pBdr>
          <w:top w:val="nil"/>
          <w:left w:val="nil"/>
          <w:bottom w:val="nil"/>
          <w:right w:val="nil"/>
          <w:between w:val="nil"/>
        </w:pBdr>
        <w:spacing w:line="360" w:lineRule="auto"/>
        <w:jc w:val="both"/>
      </w:pPr>
      <w:r>
        <w:rPr>
          <w:rFonts w:ascii="Avenir" w:eastAsia="Avenir" w:hAnsi="Avenir" w:cs="Avenir"/>
          <w:color w:val="000000"/>
        </w:rPr>
        <w:t>Compliance:</w:t>
      </w:r>
    </w:p>
    <w:p w14:paraId="181B5EF2" w14:textId="77777777" w:rsidR="00553A52" w:rsidRDefault="00000000">
      <w:pPr>
        <w:numPr>
          <w:ilvl w:val="1"/>
          <w:numId w:val="2"/>
        </w:numPr>
        <w:pBdr>
          <w:top w:val="nil"/>
          <w:left w:val="nil"/>
          <w:bottom w:val="nil"/>
          <w:right w:val="nil"/>
          <w:between w:val="nil"/>
        </w:pBdr>
        <w:spacing w:after="245" w:line="360" w:lineRule="auto"/>
        <w:jc w:val="both"/>
        <w:rPr>
          <w:rFonts w:ascii="Avenir" w:eastAsia="Avenir" w:hAnsi="Avenir" w:cs="Avenir"/>
        </w:rPr>
      </w:pPr>
      <w:r>
        <w:rPr>
          <w:rFonts w:ascii="Avenir" w:eastAsia="Avenir" w:hAnsi="Avenir" w:cs="Avenir"/>
          <w:color w:val="000000"/>
        </w:rPr>
        <w:t>As Políticas para normas regulatórias deverão contemplar e refletir sobre: o quanto a norma é relevante e importante para a organização; como é a sua interpretação; quais políticas e procedimentos estão envolvidos na norma; se já existem padrões que podem ajudar; se a organização já apresenta compliance atual com a norma; como se dá essa conformidade; como deverá ser a conformidade no futuro; como se demostra e comprova a conformidade; como monitorar os aspectos de conformidade; com que frequência a norma será revista; como identificar e reportar as não-conformidades; como gerenciar, corrigir as não-conformidade e como responder às glosas ou notificações sobre problemas de compliance.</w:t>
      </w:r>
    </w:p>
    <w:p w14:paraId="6D16342A" w14:textId="77777777" w:rsidR="00553A52" w:rsidRDefault="00553A52">
      <w:pPr>
        <w:rPr>
          <w:rFonts w:ascii="Avenir" w:eastAsia="Avenir" w:hAnsi="Avenir" w:cs="Avenir"/>
        </w:rPr>
      </w:pPr>
    </w:p>
    <w:p w14:paraId="07DC2FB0" w14:textId="77777777" w:rsidR="00553A52" w:rsidRDefault="00000000">
      <w:pPr>
        <w:numPr>
          <w:ilvl w:val="0"/>
          <w:numId w:val="2"/>
        </w:numPr>
        <w:pBdr>
          <w:top w:val="nil"/>
          <w:left w:val="nil"/>
          <w:bottom w:val="nil"/>
          <w:right w:val="nil"/>
          <w:between w:val="nil"/>
        </w:pBdr>
        <w:spacing w:before="240" w:line="360" w:lineRule="auto"/>
        <w:jc w:val="both"/>
      </w:pPr>
      <w:r>
        <w:rPr>
          <w:rFonts w:ascii="Avenir" w:eastAsia="Avenir" w:hAnsi="Avenir" w:cs="Avenir"/>
          <w:color w:val="000000"/>
        </w:rPr>
        <w:t>Alinhamento com aspectos culturais e estruturais:</w:t>
      </w:r>
    </w:p>
    <w:p w14:paraId="251E334E"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rPr>
          <w:rFonts w:ascii="Avenir" w:eastAsia="Avenir" w:hAnsi="Avenir" w:cs="Avenir"/>
          <w:color w:val="000000"/>
        </w:rPr>
        <w:t>Deverão ser revistos periodicamente os aspectos relacionados ao valor dos dados, do ponto de vista do negócio ou do ponto de vista de mercado e de possível monetização.</w:t>
      </w:r>
    </w:p>
    <w:p w14:paraId="12A2EBF0" w14:textId="77777777" w:rsidR="00553A52" w:rsidRDefault="00000000">
      <w:pPr>
        <w:numPr>
          <w:ilvl w:val="1"/>
          <w:numId w:val="2"/>
        </w:numPr>
        <w:pBdr>
          <w:top w:val="nil"/>
          <w:left w:val="nil"/>
          <w:bottom w:val="nil"/>
          <w:right w:val="nil"/>
          <w:between w:val="nil"/>
        </w:pBdr>
        <w:spacing w:after="245" w:line="360" w:lineRule="auto"/>
        <w:jc w:val="both"/>
        <w:rPr>
          <w:rFonts w:ascii="Avenir" w:eastAsia="Avenir" w:hAnsi="Avenir" w:cs="Avenir"/>
        </w:rPr>
      </w:pPr>
      <w:r>
        <w:rPr>
          <w:rFonts w:ascii="Avenir" w:eastAsia="Avenir" w:hAnsi="Avenir" w:cs="Avenir"/>
          <w:color w:val="000000"/>
        </w:rPr>
        <w:t xml:space="preserve">Dependendo do porte e da geografia da empresa, aspectos relacionados à centralização ou descentralização das funções de GD, com a definição de contexto para a aplicação de suas definições, </w:t>
      </w:r>
      <w:r>
        <w:rPr>
          <w:rFonts w:ascii="Avenir" w:eastAsia="Avenir" w:hAnsi="Avenir" w:cs="Avenir"/>
        </w:rPr>
        <w:t>devem</w:t>
      </w:r>
      <w:r>
        <w:rPr>
          <w:rFonts w:ascii="Avenir" w:eastAsia="Avenir" w:hAnsi="Avenir" w:cs="Avenir"/>
          <w:color w:val="000000"/>
        </w:rPr>
        <w:t xml:space="preserve"> ser analisados e/ou revistos.</w:t>
      </w:r>
    </w:p>
    <w:sectPr w:rsidR="00553A52">
      <w:headerReference w:type="even" r:id="rId8"/>
      <w:headerReference w:type="default" r:id="rId9"/>
      <w:footerReference w:type="even" r:id="rId10"/>
      <w:footerReference w:type="default" r:id="rId11"/>
      <w:headerReference w:type="first" r:id="rId12"/>
      <w:footerReference w:type="first" r:id="rId13"/>
      <w:pgSz w:w="11907" w:h="16839"/>
      <w:pgMar w:top="2207" w:right="1009" w:bottom="1276" w:left="1009" w:header="709" w:footer="3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4E5F" w14:textId="77777777" w:rsidR="004E6286" w:rsidRDefault="004E6286">
      <w:pPr>
        <w:spacing w:line="240" w:lineRule="auto"/>
      </w:pPr>
      <w:r>
        <w:separator/>
      </w:r>
    </w:p>
  </w:endnote>
  <w:endnote w:type="continuationSeparator" w:id="0">
    <w:p w14:paraId="6FC73578" w14:textId="77777777" w:rsidR="004E6286" w:rsidRDefault="004E62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D84F709-EFA0-4F7F-A6F7-1B268A68959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5F49F17-13F0-4227-A5EF-9C3FB8558E55}"/>
  </w:font>
  <w:font w:name="Cambria">
    <w:panose1 w:val="02040503050406030204"/>
    <w:charset w:val="00"/>
    <w:family w:val="roman"/>
    <w:pitch w:val="variable"/>
    <w:sig w:usb0="E00006FF" w:usb1="420024FF" w:usb2="02000000" w:usb3="00000000" w:csb0="0000019F" w:csb1="00000000"/>
    <w:embedRegular r:id="rId3" w:fontKey="{C8DBE4B2-A804-4BB7-A9D2-853C1E28D1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0815" w14:textId="77777777" w:rsidR="00B27867" w:rsidRDefault="00B2786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A2DB" w14:textId="77777777" w:rsidR="00B27867" w:rsidRPr="00B27867" w:rsidRDefault="00B27867" w:rsidP="00B27867">
    <w:pPr>
      <w:pStyle w:val="Rodap"/>
    </w:pPr>
    <w:r w:rsidRPr="00B27867">
      <w:t>© 2026 Data Governance Journey</w:t>
    </w:r>
    <w:r w:rsidRPr="00B27867">
      <w:tab/>
    </w:r>
    <w:r w:rsidRPr="00B27867">
      <w:tab/>
      <w:t>https://datagovjourney.com</w:t>
    </w:r>
  </w:p>
  <w:p w14:paraId="52766C83" w14:textId="77777777" w:rsidR="00B27867" w:rsidRDefault="00B2786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EF08" w14:textId="77777777" w:rsidR="00B27867" w:rsidRDefault="00B2786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351D" w14:textId="77777777" w:rsidR="004E6286" w:rsidRDefault="004E6286">
      <w:pPr>
        <w:spacing w:line="240" w:lineRule="auto"/>
      </w:pPr>
      <w:r>
        <w:separator/>
      </w:r>
    </w:p>
  </w:footnote>
  <w:footnote w:type="continuationSeparator" w:id="0">
    <w:p w14:paraId="64C03184" w14:textId="77777777" w:rsidR="004E6286" w:rsidRDefault="004E62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800C" w14:textId="77777777" w:rsidR="00B27867" w:rsidRDefault="00B2786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4282" w14:textId="15D013C0" w:rsidR="00553A52" w:rsidRDefault="00F460EE">
    <w:pPr>
      <w:pBdr>
        <w:top w:val="nil"/>
        <w:left w:val="nil"/>
        <w:bottom w:val="nil"/>
        <w:right w:val="nil"/>
        <w:between w:val="nil"/>
      </w:pBdr>
      <w:tabs>
        <w:tab w:val="center" w:pos="4320"/>
        <w:tab w:val="right" w:pos="8640"/>
        <w:tab w:val="right" w:pos="9356"/>
      </w:tabs>
      <w:ind w:left="-708" w:right="-756"/>
    </w:pPr>
    <w:r w:rsidRPr="003F335C">
      <w:rPr>
        <w:noProof/>
      </w:rPr>
      <w:drawing>
        <wp:anchor distT="0" distB="0" distL="114300" distR="114300" simplePos="0" relativeHeight="251661312" behindDoc="0" locked="0" layoutInCell="1" allowOverlap="1" wp14:anchorId="6A926C36" wp14:editId="3053182B">
          <wp:simplePos x="0" y="0"/>
          <wp:positionH relativeFrom="page">
            <wp:posOffset>-142875</wp:posOffset>
          </wp:positionH>
          <wp:positionV relativeFrom="paragraph">
            <wp:posOffset>-448310</wp:posOffset>
          </wp:positionV>
          <wp:extent cx="7773670" cy="1314450"/>
          <wp:effectExtent l="0" t="0" r="0" b="0"/>
          <wp:wrapSquare wrapText="bothSides"/>
          <wp:docPr id="2945265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26515" name=""/>
                  <pic:cNvPicPr/>
                </pic:nvPicPr>
                <pic:blipFill>
                  <a:blip r:embed="rId1">
                    <a:extLst>
                      <a:ext uri="{28A0092B-C50C-407E-A947-70E740481C1C}">
                        <a14:useLocalDpi xmlns:a14="http://schemas.microsoft.com/office/drawing/2010/main" val="0"/>
                      </a:ext>
                    </a:extLst>
                  </a:blip>
                  <a:stretch>
                    <a:fillRect/>
                  </a:stretch>
                </pic:blipFill>
                <pic:spPr>
                  <a:xfrm>
                    <a:off x="0" y="0"/>
                    <a:ext cx="7773670" cy="1314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9478" w14:textId="77777777" w:rsidR="00553A52" w:rsidRDefault="00000000">
    <w:pPr>
      <w:keepNext/>
      <w:pBdr>
        <w:top w:val="nil"/>
        <w:left w:val="nil"/>
        <w:bottom w:val="nil"/>
        <w:right w:val="nil"/>
        <w:between w:val="nil"/>
      </w:pBdr>
      <w:tabs>
        <w:tab w:val="center" w:pos="4320"/>
        <w:tab w:val="right" w:pos="8640"/>
      </w:tabs>
      <w:spacing w:before="240" w:after="160" w:line="259" w:lineRule="auto"/>
      <w:jc w:val="both"/>
      <w:rPr>
        <w:rFonts w:ascii="Avenir" w:eastAsia="Avenir" w:hAnsi="Avenir" w:cs="Avenir"/>
        <w:color w:val="000000"/>
      </w:rPr>
    </w:pPr>
    <w:r>
      <w:rPr>
        <w:noProof/>
      </w:rPr>
      <w:drawing>
        <wp:anchor distT="114300" distB="114300" distL="114300" distR="114300" simplePos="0" relativeHeight="251659264" behindDoc="0" locked="0" layoutInCell="1" hidden="0" allowOverlap="1" wp14:anchorId="3E888C95" wp14:editId="1785FEF5">
          <wp:simplePos x="0" y="0"/>
          <wp:positionH relativeFrom="page">
            <wp:posOffset>-15711</wp:posOffset>
          </wp:positionH>
          <wp:positionV relativeFrom="page">
            <wp:posOffset>1270</wp:posOffset>
          </wp:positionV>
          <wp:extent cx="7591425" cy="14031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6297"/>
                  <a:stretch>
                    <a:fillRect/>
                  </a:stretch>
                </pic:blipFill>
                <pic:spPr>
                  <a:xfrm>
                    <a:off x="0" y="0"/>
                    <a:ext cx="7591425" cy="140319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3345E"/>
    <w:multiLevelType w:val="multilevel"/>
    <w:tmpl w:val="7C68330C"/>
    <w:lvl w:ilvl="0">
      <w:start w:val="1"/>
      <w:numFmt w:val="decimal"/>
      <w:lvlText w:val="%1."/>
      <w:lvlJc w:val="left"/>
      <w:pPr>
        <w:ind w:left="284" w:hanging="284"/>
      </w:pPr>
      <w:rPr>
        <w:rFonts w:ascii="Arial" w:eastAsia="Arial" w:hAnsi="Arial" w:cs="Arial"/>
        <w:b/>
        <w:bCs/>
        <w:i w:val="0"/>
        <w:iCs w:val="0"/>
        <w:strike w:val="0"/>
        <w:color w:val="17294A"/>
        <w:sz w:val="22"/>
        <w:szCs w:val="22"/>
        <w:u w:val="none"/>
        <w:shd w:val="clear" w:color="auto" w:fill="auto"/>
        <w:vertAlign w:val="baseline"/>
      </w:rPr>
    </w:lvl>
    <w:lvl w:ilvl="1">
      <w:start w:val="1"/>
      <w:numFmt w:val="lowerLetter"/>
      <w:lvlText w:val="%2"/>
      <w:lvlJc w:val="left"/>
      <w:pPr>
        <w:ind w:left="1214" w:hanging="1214"/>
      </w:pPr>
      <w:rPr>
        <w:rFonts w:ascii="Arial" w:eastAsia="Arial" w:hAnsi="Arial" w:cs="Arial"/>
        <w:b/>
        <w:bCs/>
        <w:i w:val="0"/>
        <w:iCs w:val="0"/>
        <w:strike w:val="0"/>
        <w:color w:val="17294A"/>
        <w:sz w:val="22"/>
        <w:szCs w:val="22"/>
        <w:u w:val="none"/>
        <w:shd w:val="clear" w:color="auto" w:fill="auto"/>
        <w:vertAlign w:val="baseline"/>
      </w:rPr>
    </w:lvl>
    <w:lvl w:ilvl="2">
      <w:start w:val="1"/>
      <w:numFmt w:val="lowerRoman"/>
      <w:lvlText w:val="%3"/>
      <w:lvlJc w:val="left"/>
      <w:pPr>
        <w:ind w:left="1934" w:hanging="1934"/>
      </w:pPr>
      <w:rPr>
        <w:rFonts w:ascii="Arial" w:eastAsia="Arial" w:hAnsi="Arial" w:cs="Arial"/>
        <w:b/>
        <w:bCs/>
        <w:i w:val="0"/>
        <w:iCs w:val="0"/>
        <w:strike w:val="0"/>
        <w:color w:val="17294A"/>
        <w:sz w:val="22"/>
        <w:szCs w:val="22"/>
        <w:u w:val="none"/>
        <w:shd w:val="clear" w:color="auto" w:fill="auto"/>
        <w:vertAlign w:val="baseline"/>
      </w:rPr>
    </w:lvl>
    <w:lvl w:ilvl="3">
      <w:start w:val="1"/>
      <w:numFmt w:val="decimal"/>
      <w:lvlText w:val="%4"/>
      <w:lvlJc w:val="left"/>
      <w:pPr>
        <w:ind w:left="2654" w:hanging="2654"/>
      </w:pPr>
      <w:rPr>
        <w:rFonts w:ascii="Arial" w:eastAsia="Arial" w:hAnsi="Arial" w:cs="Arial"/>
        <w:b/>
        <w:bCs/>
        <w:i w:val="0"/>
        <w:iCs w:val="0"/>
        <w:strike w:val="0"/>
        <w:color w:val="17294A"/>
        <w:sz w:val="22"/>
        <w:szCs w:val="22"/>
        <w:u w:val="none"/>
        <w:shd w:val="clear" w:color="auto" w:fill="auto"/>
        <w:vertAlign w:val="baseline"/>
      </w:rPr>
    </w:lvl>
    <w:lvl w:ilvl="4">
      <w:start w:val="1"/>
      <w:numFmt w:val="lowerLetter"/>
      <w:lvlText w:val="%5"/>
      <w:lvlJc w:val="left"/>
      <w:pPr>
        <w:ind w:left="3374" w:hanging="3374"/>
      </w:pPr>
      <w:rPr>
        <w:rFonts w:ascii="Arial" w:eastAsia="Arial" w:hAnsi="Arial" w:cs="Arial"/>
        <w:b/>
        <w:bCs/>
        <w:i w:val="0"/>
        <w:iCs w:val="0"/>
        <w:strike w:val="0"/>
        <w:color w:val="17294A"/>
        <w:sz w:val="22"/>
        <w:szCs w:val="22"/>
        <w:u w:val="none"/>
        <w:shd w:val="clear" w:color="auto" w:fill="auto"/>
        <w:vertAlign w:val="baseline"/>
      </w:rPr>
    </w:lvl>
    <w:lvl w:ilvl="5">
      <w:start w:val="1"/>
      <w:numFmt w:val="lowerRoman"/>
      <w:lvlText w:val="%6"/>
      <w:lvlJc w:val="left"/>
      <w:pPr>
        <w:ind w:left="4094" w:hanging="4094"/>
      </w:pPr>
      <w:rPr>
        <w:rFonts w:ascii="Arial" w:eastAsia="Arial" w:hAnsi="Arial" w:cs="Arial"/>
        <w:b/>
        <w:bCs/>
        <w:i w:val="0"/>
        <w:iCs w:val="0"/>
        <w:strike w:val="0"/>
        <w:color w:val="17294A"/>
        <w:sz w:val="22"/>
        <w:szCs w:val="22"/>
        <w:u w:val="none"/>
        <w:shd w:val="clear" w:color="auto" w:fill="auto"/>
        <w:vertAlign w:val="baseline"/>
      </w:rPr>
    </w:lvl>
    <w:lvl w:ilvl="6">
      <w:start w:val="1"/>
      <w:numFmt w:val="decimal"/>
      <w:lvlText w:val="%7"/>
      <w:lvlJc w:val="left"/>
      <w:pPr>
        <w:ind w:left="4814" w:hanging="4814"/>
      </w:pPr>
      <w:rPr>
        <w:rFonts w:ascii="Arial" w:eastAsia="Arial" w:hAnsi="Arial" w:cs="Arial"/>
        <w:b/>
        <w:bCs/>
        <w:i w:val="0"/>
        <w:iCs w:val="0"/>
        <w:strike w:val="0"/>
        <w:color w:val="17294A"/>
        <w:sz w:val="22"/>
        <w:szCs w:val="22"/>
        <w:u w:val="none"/>
        <w:shd w:val="clear" w:color="auto" w:fill="auto"/>
        <w:vertAlign w:val="baseline"/>
      </w:rPr>
    </w:lvl>
    <w:lvl w:ilvl="7">
      <w:start w:val="1"/>
      <w:numFmt w:val="lowerLetter"/>
      <w:lvlText w:val="%8"/>
      <w:lvlJc w:val="left"/>
      <w:pPr>
        <w:ind w:left="5534" w:hanging="5534"/>
      </w:pPr>
      <w:rPr>
        <w:rFonts w:ascii="Arial" w:eastAsia="Arial" w:hAnsi="Arial" w:cs="Arial"/>
        <w:b/>
        <w:bCs/>
        <w:i w:val="0"/>
        <w:iCs w:val="0"/>
        <w:strike w:val="0"/>
        <w:color w:val="17294A"/>
        <w:sz w:val="22"/>
        <w:szCs w:val="22"/>
        <w:u w:val="none"/>
        <w:shd w:val="clear" w:color="auto" w:fill="auto"/>
        <w:vertAlign w:val="baseline"/>
      </w:rPr>
    </w:lvl>
    <w:lvl w:ilvl="8">
      <w:start w:val="1"/>
      <w:numFmt w:val="lowerRoman"/>
      <w:lvlText w:val="%9"/>
      <w:lvlJc w:val="left"/>
      <w:pPr>
        <w:ind w:left="6254" w:hanging="6254"/>
      </w:pPr>
      <w:rPr>
        <w:rFonts w:ascii="Arial" w:eastAsia="Arial" w:hAnsi="Arial" w:cs="Arial"/>
        <w:b/>
        <w:bCs/>
        <w:i w:val="0"/>
        <w:iCs w:val="0"/>
        <w:strike w:val="0"/>
        <w:color w:val="17294A"/>
        <w:sz w:val="22"/>
        <w:szCs w:val="22"/>
        <w:u w:val="none"/>
        <w:shd w:val="clear" w:color="auto" w:fill="auto"/>
        <w:vertAlign w:val="baseline"/>
      </w:rPr>
    </w:lvl>
  </w:abstractNum>
  <w:abstractNum w:abstractNumId="1" w15:restartNumberingAfterBreak="0">
    <w:nsid w:val="60380BB3"/>
    <w:multiLevelType w:val="multilevel"/>
    <w:tmpl w:val="22184F9C"/>
    <w:lvl w:ilvl="0">
      <w:numFmt w:val="bullet"/>
      <w:lvlText w:val="•"/>
      <w:lvlJc w:val="left"/>
      <w:pPr>
        <w:ind w:left="707" w:hanging="684"/>
      </w:pPr>
      <w:rPr>
        <w:rFonts w:ascii="Avenir" w:eastAsia="Avenir" w:hAnsi="Avenir" w:cs="Avenir"/>
      </w:rPr>
    </w:lvl>
    <w:lvl w:ilvl="1">
      <w:start w:val="1"/>
      <w:numFmt w:val="bullet"/>
      <w:lvlText w:val="o"/>
      <w:lvlJc w:val="left"/>
      <w:pPr>
        <w:ind w:left="1103" w:hanging="360"/>
      </w:pPr>
      <w:rPr>
        <w:rFonts w:ascii="Courier New" w:eastAsia="Courier New" w:hAnsi="Courier New" w:cs="Courier New"/>
      </w:rPr>
    </w:lvl>
    <w:lvl w:ilvl="2">
      <w:start w:val="1"/>
      <w:numFmt w:val="bullet"/>
      <w:lvlText w:val="▪"/>
      <w:lvlJc w:val="left"/>
      <w:pPr>
        <w:ind w:left="1823" w:hanging="360"/>
      </w:pPr>
      <w:rPr>
        <w:rFonts w:ascii="Noto Sans Symbols" w:eastAsia="Noto Sans Symbols" w:hAnsi="Noto Sans Symbols" w:cs="Noto Sans Symbols"/>
      </w:rPr>
    </w:lvl>
    <w:lvl w:ilvl="3">
      <w:start w:val="1"/>
      <w:numFmt w:val="bullet"/>
      <w:lvlText w:val="●"/>
      <w:lvlJc w:val="left"/>
      <w:pPr>
        <w:ind w:left="2543" w:hanging="360"/>
      </w:pPr>
      <w:rPr>
        <w:rFonts w:ascii="Noto Sans Symbols" w:eastAsia="Noto Sans Symbols" w:hAnsi="Noto Sans Symbols" w:cs="Noto Sans Symbols"/>
      </w:rPr>
    </w:lvl>
    <w:lvl w:ilvl="4">
      <w:start w:val="1"/>
      <w:numFmt w:val="bullet"/>
      <w:lvlText w:val="o"/>
      <w:lvlJc w:val="left"/>
      <w:pPr>
        <w:ind w:left="3263" w:hanging="360"/>
      </w:pPr>
      <w:rPr>
        <w:rFonts w:ascii="Courier New" w:eastAsia="Courier New" w:hAnsi="Courier New" w:cs="Courier New"/>
      </w:rPr>
    </w:lvl>
    <w:lvl w:ilvl="5">
      <w:start w:val="1"/>
      <w:numFmt w:val="bullet"/>
      <w:lvlText w:val="▪"/>
      <w:lvlJc w:val="left"/>
      <w:pPr>
        <w:ind w:left="3983" w:hanging="360"/>
      </w:pPr>
      <w:rPr>
        <w:rFonts w:ascii="Noto Sans Symbols" w:eastAsia="Noto Sans Symbols" w:hAnsi="Noto Sans Symbols" w:cs="Noto Sans Symbols"/>
      </w:rPr>
    </w:lvl>
    <w:lvl w:ilvl="6">
      <w:start w:val="1"/>
      <w:numFmt w:val="bullet"/>
      <w:lvlText w:val="●"/>
      <w:lvlJc w:val="left"/>
      <w:pPr>
        <w:ind w:left="4703" w:hanging="360"/>
      </w:pPr>
      <w:rPr>
        <w:rFonts w:ascii="Noto Sans Symbols" w:eastAsia="Noto Sans Symbols" w:hAnsi="Noto Sans Symbols" w:cs="Noto Sans Symbols"/>
      </w:rPr>
    </w:lvl>
    <w:lvl w:ilvl="7">
      <w:start w:val="1"/>
      <w:numFmt w:val="bullet"/>
      <w:lvlText w:val="o"/>
      <w:lvlJc w:val="left"/>
      <w:pPr>
        <w:ind w:left="5423" w:hanging="360"/>
      </w:pPr>
      <w:rPr>
        <w:rFonts w:ascii="Courier New" w:eastAsia="Courier New" w:hAnsi="Courier New" w:cs="Courier New"/>
      </w:rPr>
    </w:lvl>
    <w:lvl w:ilvl="8">
      <w:start w:val="1"/>
      <w:numFmt w:val="bullet"/>
      <w:lvlText w:val="▪"/>
      <w:lvlJc w:val="left"/>
      <w:pPr>
        <w:ind w:left="6143" w:hanging="360"/>
      </w:pPr>
      <w:rPr>
        <w:rFonts w:ascii="Noto Sans Symbols" w:eastAsia="Noto Sans Symbols" w:hAnsi="Noto Sans Symbols" w:cs="Noto Sans Symbols"/>
      </w:rPr>
    </w:lvl>
  </w:abstractNum>
  <w:num w:numId="1" w16cid:durableId="356925803">
    <w:abstractNumId w:val="0"/>
  </w:num>
  <w:num w:numId="2" w16cid:durableId="2116512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52"/>
    <w:rsid w:val="004E6286"/>
    <w:rsid w:val="00553A52"/>
    <w:rsid w:val="005D17AF"/>
    <w:rsid w:val="00642041"/>
    <w:rsid w:val="00971260"/>
    <w:rsid w:val="00B27867"/>
    <w:rsid w:val="00C6249C"/>
    <w:rsid w:val="00F460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BF01"/>
  <w15:docId w15:val="{FF79B38E-D07F-4319-AB55-44C1576E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F460EE"/>
    <w:pPr>
      <w:tabs>
        <w:tab w:val="center" w:pos="4252"/>
        <w:tab w:val="right" w:pos="8504"/>
      </w:tabs>
      <w:spacing w:line="240" w:lineRule="auto"/>
    </w:pPr>
  </w:style>
  <w:style w:type="character" w:customStyle="1" w:styleId="CabealhoChar">
    <w:name w:val="Cabeçalho Char"/>
    <w:basedOn w:val="Fontepargpadro"/>
    <w:link w:val="Cabealho"/>
    <w:uiPriority w:val="99"/>
    <w:rsid w:val="00F460EE"/>
  </w:style>
  <w:style w:type="paragraph" w:styleId="Rodap">
    <w:name w:val="footer"/>
    <w:basedOn w:val="Normal"/>
    <w:link w:val="RodapChar"/>
    <w:uiPriority w:val="99"/>
    <w:unhideWhenUsed/>
    <w:rsid w:val="00F460EE"/>
    <w:pPr>
      <w:tabs>
        <w:tab w:val="center" w:pos="4252"/>
        <w:tab w:val="right" w:pos="8504"/>
      </w:tabs>
      <w:spacing w:line="240" w:lineRule="auto"/>
    </w:pPr>
  </w:style>
  <w:style w:type="character" w:customStyle="1" w:styleId="RodapChar">
    <w:name w:val="Rodapé Char"/>
    <w:basedOn w:val="Fontepargpadro"/>
    <w:link w:val="Rodap"/>
    <w:uiPriority w:val="99"/>
    <w:rsid w:val="00F46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1662</Words>
  <Characters>8981</Characters>
  <Application>Microsoft Office Word</Application>
  <DocSecurity>0</DocSecurity>
  <Lines>74</Lines>
  <Paragraphs>21</Paragraphs>
  <ScaleCrop>false</ScaleCrop>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Bradbury</cp:lastModifiedBy>
  <cp:revision>4</cp:revision>
  <dcterms:created xsi:type="dcterms:W3CDTF">2026-08-04T11:21:00Z</dcterms:created>
  <dcterms:modified xsi:type="dcterms:W3CDTF">2026-09-02T10:46:00Z</dcterms:modified>
</cp:coreProperties>
</file>