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18E47" w14:textId="77777777" w:rsidR="00553A52" w:rsidRDefault="00553A52">
      <w:pPr>
        <w:spacing w:line="497" w:lineRule="auto"/>
        <w:ind w:right="1242"/>
        <w:jc w:val="right"/>
        <w:rPr>
          <w:rFonts w:ascii="Avenir" w:eastAsia="Avenir" w:hAnsi="Avenir" w:cs="Avenir"/>
          <w:i/>
          <w:iCs/>
          <w:sz w:val="20"/>
          <w:szCs w:val="20"/>
        </w:rPr>
      </w:pPr>
    </w:p>
    <w:p w14:paraId="155BEDF2" w14:textId="77777777" w:rsidR="00553A52" w:rsidRDefault="00553A52">
      <w:pPr>
        <w:spacing w:line="497" w:lineRule="auto"/>
        <w:ind w:right="1242"/>
        <w:jc w:val="right"/>
        <w:rPr>
          <w:rFonts w:ascii="Avenir" w:eastAsia="Avenir" w:hAnsi="Avenir" w:cs="Avenir"/>
          <w:i/>
          <w:iCs/>
          <w:sz w:val="20"/>
          <w:szCs w:val="20"/>
        </w:rPr>
      </w:pPr>
    </w:p>
    <w:p w14:paraId="02C42094" w14:textId="77777777" w:rsidR="00553A52" w:rsidRDefault="00553A52">
      <w:pPr>
        <w:spacing w:line="497" w:lineRule="auto"/>
        <w:ind w:right="1242"/>
        <w:jc w:val="right"/>
        <w:rPr>
          <w:rFonts w:ascii="Avenir" w:eastAsia="Avenir" w:hAnsi="Avenir" w:cs="Avenir"/>
          <w:i/>
          <w:iCs/>
          <w:sz w:val="20"/>
          <w:szCs w:val="20"/>
        </w:rPr>
      </w:pPr>
    </w:p>
    <w:p w14:paraId="39228211" w14:textId="77777777" w:rsidR="00553A52" w:rsidRDefault="00553A52">
      <w:pPr>
        <w:rPr>
          <w:rFonts w:ascii="Avenir" w:eastAsia="Avenir" w:hAnsi="Avenir" w:cs="Avenir"/>
        </w:rPr>
      </w:pPr>
    </w:p>
    <w:p w14:paraId="7BE497C6" w14:textId="77777777" w:rsidR="00553A52" w:rsidRDefault="00000000">
      <w:pPr>
        <w:rPr>
          <w:rFonts w:ascii="Avenir" w:eastAsia="Avenir" w:hAnsi="Avenir" w:cs="Avenir"/>
        </w:rPr>
      </w:pPr>
      <w:r>
        <w:rPr>
          <w:noProof/>
        </w:rPr>
        <mc:AlternateContent>
          <mc:Choice Requires="wps">
            <w:drawing>
              <wp:anchor distT="0" distB="0" distL="114300" distR="114300" simplePos="0" relativeHeight="251658240" behindDoc="0" locked="0" layoutInCell="1" hidden="0" allowOverlap="1" wp14:anchorId="0F421D4C" wp14:editId="766AAE8B">
                <wp:simplePos x="0" y="0"/>
                <wp:positionH relativeFrom="column">
                  <wp:posOffset>441643</wp:posOffset>
                </wp:positionH>
                <wp:positionV relativeFrom="paragraph">
                  <wp:posOffset>35878</wp:posOffset>
                </wp:positionV>
                <wp:extent cx="5624830" cy="1271270"/>
                <wp:effectExtent l="0" t="0" r="0" b="0"/>
                <wp:wrapSquare wrapText="bothSides" distT="0" distB="0" distL="114300" distR="114300"/>
                <wp:docPr id="1" name="Forma Livre: Forma 1"/>
                <wp:cNvGraphicFramePr/>
                <a:graphic xmlns:a="http://schemas.openxmlformats.org/drawingml/2006/main">
                  <a:graphicData uri="http://schemas.microsoft.com/office/word/2010/wordprocessingShape">
                    <wps:wsp>
                      <wps:cNvSpPr/>
                      <wps:spPr>
                        <a:xfrm>
                          <a:off x="2538348" y="3149128"/>
                          <a:ext cx="5615305" cy="1261745"/>
                        </a:xfrm>
                        <a:custGeom>
                          <a:avLst/>
                          <a:gdLst/>
                          <a:ahLst/>
                          <a:cxnLst/>
                          <a:rect l="l" t="t" r="r" b="b"/>
                          <a:pathLst>
                            <a:path w="5615305" h="1261745" extrusionOk="0">
                              <a:moveTo>
                                <a:pt x="0" y="0"/>
                              </a:moveTo>
                              <a:lnTo>
                                <a:pt x="0" y="1261745"/>
                              </a:lnTo>
                              <a:lnTo>
                                <a:pt x="5615305" y="1261745"/>
                              </a:lnTo>
                              <a:lnTo>
                                <a:pt x="5615305" y="0"/>
                              </a:lnTo>
                              <a:close/>
                            </a:path>
                          </a:pathLst>
                        </a:custGeom>
                        <a:noFill/>
                        <a:ln>
                          <a:noFill/>
                        </a:ln>
                      </wps:spPr>
                      <wps:txbx>
                        <w:txbxContent>
                          <w:p w14:paraId="6F698EEC" w14:textId="069BFC68" w:rsidR="00553A52" w:rsidRDefault="00000000" w:rsidP="00642041">
                            <w:pPr>
                              <w:spacing w:before="240" w:after="245" w:line="360" w:lineRule="auto"/>
                              <w:ind w:left="22"/>
                              <w:jc w:val="center"/>
                              <w:textDirection w:val="btLr"/>
                            </w:pPr>
                            <w:r>
                              <w:rPr>
                                <w:rFonts w:ascii="Avenir" w:eastAsia="Avenir" w:hAnsi="Avenir" w:cs="Avenir"/>
                                <w:b/>
                                <w:color w:val="000000"/>
                                <w:sz w:val="48"/>
                              </w:rPr>
                              <w:t xml:space="preserve">PRINCIPIOS </w:t>
                            </w:r>
                            <w:r w:rsidR="003010ED">
                              <w:rPr>
                                <w:rFonts w:ascii="Avenir" w:eastAsia="Avenir" w:hAnsi="Avenir" w:cs="Avenir"/>
                                <w:b/>
                                <w:color w:val="000000"/>
                                <w:sz w:val="48"/>
                              </w:rPr>
                              <w:t>Y</w:t>
                            </w:r>
                            <w:r>
                              <w:rPr>
                                <w:rFonts w:ascii="Avenir" w:eastAsia="Avenir" w:hAnsi="Avenir" w:cs="Avenir"/>
                                <w:b/>
                                <w:color w:val="000000"/>
                                <w:sz w:val="48"/>
                              </w:rPr>
                              <w:t xml:space="preserve"> POLÍTICAS</w:t>
                            </w:r>
                          </w:p>
                        </w:txbxContent>
                      </wps:txbx>
                      <wps:bodyPr spcFirstLastPara="1" wrap="square" lIns="114300" tIns="0" rIns="114300" bIns="0" anchor="t" anchorCtr="0">
                        <a:noAutofit/>
                      </wps:bodyPr>
                    </wps:wsp>
                  </a:graphicData>
                </a:graphic>
              </wp:anchor>
            </w:drawing>
          </mc:Choice>
          <mc:Fallback>
            <w:pict>
              <v:shape w14:anchorId="0F421D4C" id="Forma Livre: Forma 1" o:spid="_x0000_s1026" style="position:absolute;margin-left:34.8pt;margin-top:2.85pt;width:442.9pt;height:100.1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615305,12617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" adj="-11796480,,5400" path="m,l,1261745r5615305,l5615305,,,xe" filled="f" stroked="f">
                <v:stroke joinstyle="miter"/>
                <v:formulas/>
                <v:path arrowok="t" o:extrusionok="f" o:connecttype="custom" textboxrect="0,0,5615305,1261745"/>
                <v:textbox inset="9pt,0,9pt,0">
                  <w:txbxContent>
                    <w:p w14:paraId="6F698EEC" w14:textId="069BFC68" w:rsidR="00553A52" w:rsidRDefault="00000000" w:rsidP="00642041">
                      <w:pPr>
                        <w:spacing w:before="240" w:after="245" w:line="360" w:lineRule="auto"/>
                        <w:ind w:left="22"/>
                        <w:jc w:val="center"/>
                        <w:textDirection w:val="btLr"/>
                      </w:pPr>
                      <w:r>
                        <w:rPr>
                          <w:rFonts w:ascii="Avenir" w:eastAsia="Avenir" w:hAnsi="Avenir" w:cs="Avenir"/>
                          <w:b/>
                          <w:color w:val="000000"/>
                          <w:sz w:val="48"/>
                        </w:rPr>
                        <w:t xml:space="preserve">PRINCIPIOS </w:t>
                      </w:r>
                      <w:r w:rsidR="003010ED">
                        <w:rPr>
                          <w:rFonts w:ascii="Avenir" w:eastAsia="Avenir" w:hAnsi="Avenir" w:cs="Avenir"/>
                          <w:b/>
                          <w:color w:val="000000"/>
                          <w:sz w:val="48"/>
                        </w:rPr>
                        <w:t>Y</w:t>
                      </w:r>
                      <w:r>
                        <w:rPr>
                          <w:rFonts w:ascii="Avenir" w:eastAsia="Avenir" w:hAnsi="Avenir" w:cs="Avenir"/>
                          <w:b/>
                          <w:color w:val="000000"/>
                          <w:sz w:val="48"/>
                        </w:rPr>
                        <w:t xml:space="preserve"> POLÍTICAS</w:t>
                      </w:r>
                    </w:p>
                  </w:txbxContent>
                </v:textbox>
                <w10:wrap type="square"/>
              </v:shape>
            </w:pict>
          </mc:Fallback>
        </mc:AlternateContent>
      </w:r>
    </w:p>
    <w:p w14:paraId="0B9F705B" w14:textId="77777777" w:rsidR="00553A52" w:rsidRDefault="00553A52">
      <w:pPr>
        <w:rPr>
          <w:rFonts w:ascii="Avenir" w:eastAsia="Avenir" w:hAnsi="Avenir" w:cs="Avenir"/>
        </w:rPr>
      </w:pPr>
    </w:p>
    <w:p w14:paraId="7EA61C69" w14:textId="77777777" w:rsidR="00553A52" w:rsidRDefault="00553A52">
      <w:pPr>
        <w:rPr>
          <w:rFonts w:ascii="Avenir" w:eastAsia="Avenir" w:hAnsi="Avenir" w:cs="Avenir"/>
        </w:rPr>
      </w:pPr>
    </w:p>
    <w:p w14:paraId="459CE1AE" w14:textId="77777777" w:rsidR="00553A52" w:rsidRDefault="00553A52">
      <w:pPr>
        <w:rPr>
          <w:rFonts w:ascii="Avenir" w:eastAsia="Avenir" w:hAnsi="Avenir" w:cs="Avenir"/>
        </w:rPr>
      </w:pPr>
    </w:p>
    <w:p w14:paraId="2E8A9BAA" w14:textId="77777777" w:rsidR="00553A52" w:rsidRDefault="00553A52">
      <w:pPr>
        <w:rPr>
          <w:rFonts w:ascii="Avenir" w:eastAsia="Avenir" w:hAnsi="Avenir" w:cs="Avenir"/>
        </w:rPr>
      </w:pPr>
    </w:p>
    <w:p w14:paraId="16829F3A" w14:textId="77777777" w:rsidR="00553A52" w:rsidRDefault="00553A52">
      <w:pPr>
        <w:rPr>
          <w:rFonts w:ascii="Avenir" w:eastAsia="Avenir" w:hAnsi="Avenir" w:cs="Avenir"/>
        </w:rPr>
      </w:pPr>
    </w:p>
    <w:p w14:paraId="2C233F13" w14:textId="77777777" w:rsidR="00553A52" w:rsidRDefault="00553A52">
      <w:pPr>
        <w:rPr>
          <w:rFonts w:ascii="Avenir" w:eastAsia="Avenir" w:hAnsi="Avenir" w:cs="Avenir"/>
        </w:rPr>
      </w:pPr>
    </w:p>
    <w:p w14:paraId="5F378EEC" w14:textId="77777777" w:rsidR="00553A52" w:rsidRDefault="00553A52">
      <w:pPr>
        <w:rPr>
          <w:rFonts w:ascii="Avenir" w:eastAsia="Avenir" w:hAnsi="Avenir" w:cs="Avenir"/>
        </w:rPr>
      </w:pPr>
    </w:p>
    <w:p w14:paraId="7172D776" w14:textId="77777777" w:rsidR="00553A52" w:rsidRDefault="00553A52">
      <w:pPr>
        <w:rPr>
          <w:rFonts w:ascii="Avenir" w:eastAsia="Avenir" w:hAnsi="Avenir" w:cs="Avenir"/>
        </w:rPr>
      </w:pPr>
    </w:p>
    <w:p w14:paraId="5DC0C100" w14:textId="77777777" w:rsidR="00553A52" w:rsidRDefault="00553A52">
      <w:pPr>
        <w:rPr>
          <w:rFonts w:ascii="Avenir" w:eastAsia="Avenir" w:hAnsi="Avenir" w:cs="Avenir"/>
        </w:rPr>
      </w:pPr>
    </w:p>
    <w:p w14:paraId="46B91602" w14:textId="77777777" w:rsidR="00553A52" w:rsidRDefault="00000000">
      <w:pPr>
        <w:rPr>
          <w:rFonts w:ascii="Avenir" w:eastAsia="Avenir" w:hAnsi="Avenir" w:cs="Avenir"/>
        </w:rPr>
      </w:pPr>
      <w:r>
        <w:br w:type="page"/>
      </w:r>
    </w:p>
    <w:p w14:paraId="458E31FA" w14:textId="77777777" w:rsidR="00553A52" w:rsidRDefault="00553A52">
      <w:pPr>
        <w:keepNext/>
        <w:keepLines/>
        <w:pBdr>
          <w:top w:val="nil"/>
          <w:left w:val="nil"/>
          <w:bottom w:val="nil"/>
          <w:right w:val="nil"/>
          <w:between w:val="nil"/>
        </w:pBdr>
        <w:spacing w:before="240" w:line="240" w:lineRule="auto"/>
        <w:rPr>
          <w:rFonts w:ascii="Avenir" w:eastAsia="Avenir" w:hAnsi="Avenir" w:cs="Avenir"/>
        </w:rPr>
      </w:pPr>
    </w:p>
    <w:p w14:paraId="7B202932" w14:textId="77777777" w:rsidR="00553A52" w:rsidRDefault="00000000">
      <w:pPr>
        <w:keepNext/>
        <w:keepLines/>
        <w:pBdr>
          <w:top w:val="nil"/>
          <w:left w:val="nil"/>
          <w:bottom w:val="nil"/>
          <w:right w:val="nil"/>
          <w:between w:val="nil"/>
        </w:pBdr>
        <w:spacing w:before="240" w:line="240" w:lineRule="auto"/>
        <w:rPr>
          <w:rFonts w:ascii="Avenir" w:eastAsia="Avenir" w:hAnsi="Avenir" w:cs="Avenir"/>
          <w:color w:val="233E70"/>
          <w:sz w:val="32"/>
          <w:szCs w:val="32"/>
        </w:rPr>
      </w:pPr>
      <w:proofErr w:type="spellStart"/>
      <w:r>
        <w:t>Resumen</w:t>
      </w:r>
      <w:proofErr w:type="spellEnd"/>
    </w:p>
    <w:sdt>
      <w:sdtPr>
        <w:id w:val="2004774156"/>
        <w:docPartObj>
          <w:docPartGallery w:val="Table of Contents"/>
          <w:docPartUnique/>
        </w:docPartObj>
      </w:sdtPr>
      <w:sdtEndPr>
        <w:rPr>
          <w:rFonts w:ascii="Arial" w:eastAsia="Arial" w:hAnsi="Arial" w:cs="Arial"/>
          <w:b/>
          <w:bCs/>
          <w:color w:val="auto"/>
          <w:sz w:val="22"/>
          <w:szCs w:val="22"/>
        </w:rPr>
      </w:sdtEndPr>
      <w:sdtContent>
        <w:p w14:paraId="2A7C9DAE" w14:textId="0884A70D" w:rsidR="003010ED" w:rsidRDefault="003010ED">
          <w:pPr>
            <w:pStyle w:val="CabealhodoSumrio"/>
          </w:pPr>
        </w:p>
        <w:p w14:paraId="2105A158" w14:textId="7F349CF7" w:rsidR="003010ED" w:rsidRDefault="003010ED">
          <w:pPr>
            <w:pStyle w:val="Sumrio1"/>
            <w:tabs>
              <w:tab w:val="right" w:leader="dot" w:pos="9879"/>
            </w:tabs>
            <w:rPr>
              <w:noProof/>
            </w:rPr>
          </w:pPr>
          <w:r>
            <w:fldChar w:fldCharType="begin"/>
          </w:r>
          <w:r>
            <w:instrText xml:space="preserve"> TOC \o "1-3" \h \z \u </w:instrText>
          </w:r>
          <w:r>
            <w:fldChar w:fldCharType="separate"/>
          </w:r>
          <w:hyperlink w:anchor="_Toc239230022" w:history="1">
            <w:r w:rsidRPr="000D67C1">
              <w:rPr>
                <w:rStyle w:val="Hyperlink"/>
                <w:noProof/>
              </w:rPr>
              <w:t>Principios</w:t>
            </w:r>
            <w:r>
              <w:rPr>
                <w:noProof/>
                <w:webHidden/>
              </w:rPr>
              <w:tab/>
            </w:r>
            <w:r>
              <w:rPr>
                <w:noProof/>
                <w:webHidden/>
              </w:rPr>
              <w:fldChar w:fldCharType="begin"/>
            </w:r>
            <w:r>
              <w:rPr>
                <w:noProof/>
                <w:webHidden/>
              </w:rPr>
              <w:instrText xml:space="preserve"> PAGEREF _Toc239230022 \h </w:instrText>
            </w:r>
            <w:r>
              <w:rPr>
                <w:noProof/>
                <w:webHidden/>
              </w:rPr>
            </w:r>
            <w:r>
              <w:rPr>
                <w:noProof/>
                <w:webHidden/>
              </w:rPr>
              <w:fldChar w:fldCharType="separate"/>
            </w:r>
            <w:r>
              <w:rPr>
                <w:noProof/>
                <w:webHidden/>
              </w:rPr>
              <w:t>3</w:t>
            </w:r>
            <w:r>
              <w:rPr>
                <w:noProof/>
                <w:webHidden/>
              </w:rPr>
              <w:fldChar w:fldCharType="end"/>
            </w:r>
          </w:hyperlink>
        </w:p>
        <w:p w14:paraId="700B69F5" w14:textId="0311C38B" w:rsidR="003010ED" w:rsidRDefault="003010ED">
          <w:pPr>
            <w:pStyle w:val="Sumrio1"/>
            <w:tabs>
              <w:tab w:val="right" w:leader="dot" w:pos="9879"/>
            </w:tabs>
            <w:rPr>
              <w:noProof/>
            </w:rPr>
          </w:pPr>
          <w:hyperlink w:anchor="_Toc239230023" w:history="1">
            <w:r w:rsidRPr="000D67C1">
              <w:rPr>
                <w:rStyle w:val="Hyperlink"/>
                <w:noProof/>
              </w:rPr>
              <w:t>Políticas</w:t>
            </w:r>
            <w:r>
              <w:rPr>
                <w:noProof/>
                <w:webHidden/>
              </w:rPr>
              <w:tab/>
            </w:r>
            <w:r>
              <w:rPr>
                <w:noProof/>
                <w:webHidden/>
              </w:rPr>
              <w:fldChar w:fldCharType="begin"/>
            </w:r>
            <w:r>
              <w:rPr>
                <w:noProof/>
                <w:webHidden/>
              </w:rPr>
              <w:instrText xml:space="preserve"> PAGEREF _Toc239230023 \h </w:instrText>
            </w:r>
            <w:r>
              <w:rPr>
                <w:noProof/>
                <w:webHidden/>
              </w:rPr>
            </w:r>
            <w:r>
              <w:rPr>
                <w:noProof/>
                <w:webHidden/>
              </w:rPr>
              <w:fldChar w:fldCharType="separate"/>
            </w:r>
            <w:r>
              <w:rPr>
                <w:noProof/>
                <w:webHidden/>
              </w:rPr>
              <w:t>6</w:t>
            </w:r>
            <w:r>
              <w:rPr>
                <w:noProof/>
                <w:webHidden/>
              </w:rPr>
              <w:fldChar w:fldCharType="end"/>
            </w:r>
          </w:hyperlink>
        </w:p>
        <w:p w14:paraId="09B9E6B1" w14:textId="5B875634" w:rsidR="003010ED" w:rsidRDefault="003010ED">
          <w:r>
            <w:rPr>
              <w:b/>
              <w:bCs/>
            </w:rPr>
            <w:fldChar w:fldCharType="end"/>
          </w:r>
        </w:p>
      </w:sdtContent>
    </w:sdt>
    <w:p w14:paraId="6FDD13A5" w14:textId="77777777" w:rsidR="00553A52" w:rsidRDefault="00000000">
      <w:pPr>
        <w:spacing w:after="160" w:line="259" w:lineRule="auto"/>
        <w:rPr>
          <w:rFonts w:ascii="Avenir" w:eastAsia="Avenir" w:hAnsi="Avenir" w:cs="Avenir"/>
        </w:rPr>
      </w:pPr>
      <w:r>
        <w:br w:type="page"/>
      </w:r>
    </w:p>
    <w:p w14:paraId="0F4785CC" w14:textId="77777777" w:rsidR="00553A52" w:rsidRPr="003010ED" w:rsidRDefault="00000000" w:rsidP="003010ED">
      <w:pPr>
        <w:pStyle w:val="Ttulo1"/>
      </w:pPr>
      <w:bookmarkStart w:id="0" w:name="_Toc239230022"/>
      <w:proofErr w:type="spellStart"/>
      <w:r w:rsidRPr="003010ED">
        <w:lastRenderedPageBreak/>
        <w:t>Principios</w:t>
      </w:r>
      <w:bookmarkEnd w:id="0"/>
      <w:proofErr w:type="spellEnd"/>
    </w:p>
    <w:p w14:paraId="45E4A978" w14:textId="77777777" w:rsidR="00553A52" w:rsidRPr="003010ED" w:rsidRDefault="00000000">
      <w:pPr>
        <w:rPr>
          <w:rFonts w:ascii="Avenir" w:eastAsia="Avenir" w:hAnsi="Avenir" w:cs="Avenir"/>
          <w:lang w:val="es-ES"/>
        </w:rPr>
      </w:pPr>
      <w:r w:rsidRPr="003010ED">
        <w:rPr>
          <w:lang w:val="es-ES"/>
        </w:rPr>
        <w:t>Son elementos más filosóficos que guían y son la base de la cultura de la organización orientada a los datos, así como de su gobierno y gestión.</w:t>
      </w:r>
    </w:p>
    <w:p w14:paraId="70462992" w14:textId="77777777" w:rsidR="00553A52" w:rsidRDefault="00000000">
      <w:pPr>
        <w:rPr>
          <w:rFonts w:ascii="Avenir" w:eastAsia="Avenir" w:hAnsi="Avenir" w:cs="Avenir"/>
        </w:rPr>
      </w:pPr>
      <w:proofErr w:type="spellStart"/>
      <w:r>
        <w:t>Ejemplos</w:t>
      </w:r>
      <w:proofErr w:type="spellEnd"/>
      <w:r>
        <w:t xml:space="preserve"> de </w:t>
      </w:r>
      <w:proofErr w:type="spellStart"/>
      <w:r>
        <w:t>Principios</w:t>
      </w:r>
      <w:proofErr w:type="spellEnd"/>
      <w:r>
        <w:t>:</w:t>
      </w:r>
    </w:p>
    <w:p w14:paraId="4EB5C318" w14:textId="77777777" w:rsidR="00553A52" w:rsidRPr="003010ED" w:rsidRDefault="00000000">
      <w:pPr>
        <w:numPr>
          <w:ilvl w:val="0"/>
          <w:numId w:val="2"/>
        </w:numPr>
        <w:pBdr>
          <w:top w:val="nil"/>
          <w:left w:val="nil"/>
          <w:bottom w:val="nil"/>
          <w:right w:val="nil"/>
          <w:between w:val="nil"/>
        </w:pBdr>
        <w:spacing w:before="240" w:line="360" w:lineRule="auto"/>
        <w:jc w:val="both"/>
        <w:rPr>
          <w:lang w:val="es-ES"/>
        </w:rPr>
      </w:pPr>
      <w:r w:rsidRPr="003010ED">
        <w:rPr>
          <w:lang w:val="es-ES"/>
        </w:rPr>
        <w:t>El dato es un activo y, por lo tanto, debe haber una responsabilidad formal y final sobre el mismo (</w:t>
      </w:r>
      <w:proofErr w:type="spellStart"/>
      <w:r w:rsidRPr="003010ED">
        <w:rPr>
          <w:lang w:val="es-ES"/>
        </w:rPr>
        <w:t>accountability</w:t>
      </w:r>
      <w:proofErr w:type="spellEnd"/>
      <w:r w:rsidRPr="003010ED">
        <w:rPr>
          <w:lang w:val="es-ES"/>
        </w:rPr>
        <w:t>). Los datos y su contenido de todo tipo se consideran activos, al igual que otros tipos como los activos físicos, materiales y financieros, lo que exige, por tanto, procedimientos de control organizacional similares.</w:t>
      </w:r>
    </w:p>
    <w:p w14:paraId="2E0A4FB4" w14:textId="77777777" w:rsidR="00553A52" w:rsidRPr="003010ED" w:rsidRDefault="00553A52">
      <w:pPr>
        <w:pBdr>
          <w:top w:val="nil"/>
          <w:left w:val="nil"/>
          <w:bottom w:val="nil"/>
          <w:right w:val="nil"/>
          <w:between w:val="nil"/>
        </w:pBdr>
        <w:spacing w:before="240" w:line="360" w:lineRule="auto"/>
        <w:ind w:left="707"/>
        <w:jc w:val="both"/>
        <w:rPr>
          <w:rFonts w:ascii="Avenir" w:eastAsia="Avenir" w:hAnsi="Avenir" w:cs="Avenir"/>
          <w:lang w:val="es-ES"/>
        </w:rPr>
      </w:pPr>
    </w:p>
    <w:p w14:paraId="5CA07A04"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La información debe provenir de una fuente autorizada, estar disponible, ser precisa, íntegra y sin ambigüedades, además de poder compartirse y catalogarse (metadatos). Las soluciones de datos mantendrán un estricto alineamiento con los negocios de la empresa, respondiendo a sus necesidades y a las solicitudes de las áreas involucradas.</w:t>
      </w:r>
    </w:p>
    <w:p w14:paraId="1375CC30" w14:textId="77777777" w:rsidR="00553A52" w:rsidRPr="003010ED" w:rsidRDefault="00553A52">
      <w:pPr>
        <w:pBdr>
          <w:top w:val="nil"/>
          <w:left w:val="nil"/>
          <w:bottom w:val="nil"/>
          <w:right w:val="nil"/>
          <w:between w:val="nil"/>
        </w:pBdr>
        <w:spacing w:line="360" w:lineRule="auto"/>
        <w:ind w:left="707"/>
        <w:jc w:val="both"/>
        <w:rPr>
          <w:rFonts w:ascii="Avenir" w:eastAsia="Avenir" w:hAnsi="Avenir" w:cs="Avenir"/>
          <w:lang w:val="es-ES"/>
        </w:rPr>
      </w:pPr>
    </w:p>
    <w:p w14:paraId="29271406" w14:textId="77777777" w:rsidR="00553A52" w:rsidRDefault="00000000">
      <w:pPr>
        <w:numPr>
          <w:ilvl w:val="0"/>
          <w:numId w:val="2"/>
        </w:numPr>
        <w:pBdr>
          <w:top w:val="nil"/>
          <w:left w:val="nil"/>
          <w:bottom w:val="nil"/>
          <w:right w:val="nil"/>
          <w:between w:val="nil"/>
        </w:pBdr>
        <w:spacing w:line="360" w:lineRule="auto"/>
        <w:jc w:val="both"/>
      </w:pPr>
      <w:r w:rsidRPr="003010ED">
        <w:rPr>
          <w:lang w:val="es-ES"/>
        </w:rPr>
        <w:t xml:space="preserve">El valor del dato reside en el aspecto intrínseco que aporta a la empresa, agregando y mejorando sus objetivos operativos y de negocio. </w:t>
      </w:r>
      <w:r>
        <w:t xml:space="preserve">El </w:t>
      </w:r>
      <w:proofErr w:type="spellStart"/>
      <w:r>
        <w:t>gobierno</w:t>
      </w:r>
      <w:proofErr w:type="spellEnd"/>
      <w:r>
        <w:t xml:space="preserve"> de </w:t>
      </w:r>
      <w:proofErr w:type="spellStart"/>
      <w:r>
        <w:t>datos</w:t>
      </w:r>
      <w:proofErr w:type="spellEnd"/>
      <w:r>
        <w:t xml:space="preserve"> </w:t>
      </w:r>
      <w:proofErr w:type="spellStart"/>
      <w:r>
        <w:t>debe</w:t>
      </w:r>
      <w:proofErr w:type="spellEnd"/>
      <w:r>
        <w:t xml:space="preserve"> respaldar este </w:t>
      </w:r>
      <w:proofErr w:type="spellStart"/>
      <w:proofErr w:type="gramStart"/>
      <w:r>
        <w:t>principio</w:t>
      </w:r>
      <w:proofErr w:type="spellEnd"/>
      <w:proofErr w:type="gramEnd"/>
      <w:r>
        <w:t>.</w:t>
      </w:r>
    </w:p>
    <w:p w14:paraId="5B37E1B3" w14:textId="77777777" w:rsidR="00553A52" w:rsidRDefault="00553A52">
      <w:pPr>
        <w:pBdr>
          <w:top w:val="nil"/>
          <w:left w:val="nil"/>
          <w:bottom w:val="nil"/>
          <w:right w:val="nil"/>
          <w:between w:val="nil"/>
        </w:pBdr>
        <w:spacing w:line="360" w:lineRule="auto"/>
        <w:ind w:left="707"/>
        <w:jc w:val="both"/>
        <w:rPr>
          <w:rFonts w:ascii="Avenir" w:eastAsia="Avenir" w:hAnsi="Avenir" w:cs="Avenir"/>
        </w:rPr>
      </w:pPr>
    </w:p>
    <w:p w14:paraId="09DA80B9"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El gobierno de datos es un programa de negocios y, como tal, sus definiciones formalmente aprobadas deben gobernar la interacción de TI con los datos, de la misma manera que la interacción del área de negocios con estos mismos activos.</w:t>
      </w:r>
    </w:p>
    <w:p w14:paraId="1E88F3E1" w14:textId="77777777" w:rsidR="00553A52" w:rsidRPr="003010ED" w:rsidRDefault="00553A52">
      <w:pPr>
        <w:pBdr>
          <w:top w:val="nil"/>
          <w:left w:val="nil"/>
          <w:bottom w:val="nil"/>
          <w:right w:val="nil"/>
          <w:between w:val="nil"/>
        </w:pBdr>
        <w:spacing w:line="360" w:lineRule="auto"/>
        <w:ind w:left="707"/>
        <w:jc w:val="both"/>
        <w:rPr>
          <w:rFonts w:ascii="Avenir" w:eastAsia="Avenir" w:hAnsi="Avenir" w:cs="Avenir"/>
          <w:lang w:val="es-ES"/>
        </w:rPr>
      </w:pPr>
    </w:p>
    <w:p w14:paraId="0700BAD6"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El gobierno de datos es una responsabilidad compartida entre los administradores de datos de las áreas de negocio en colaboración con los profesionales de TI, que actúan en las diversas gerencias de datos (Arquitectura, BD, DW/BI, Seguridad, etc.). La unión lógica y funcional entre el Gobierno y la Gerencia de datos forma el concepto más amplio de Gestión de Datos.</w:t>
      </w:r>
    </w:p>
    <w:p w14:paraId="420C4AC8" w14:textId="77777777" w:rsidR="00553A52" w:rsidRPr="003010ED" w:rsidRDefault="00553A52">
      <w:pPr>
        <w:pBdr>
          <w:top w:val="nil"/>
          <w:left w:val="nil"/>
          <w:bottom w:val="nil"/>
          <w:right w:val="nil"/>
          <w:between w:val="nil"/>
        </w:pBdr>
        <w:spacing w:line="360" w:lineRule="auto"/>
        <w:ind w:left="707"/>
        <w:jc w:val="both"/>
        <w:rPr>
          <w:rFonts w:ascii="Avenir" w:eastAsia="Avenir" w:hAnsi="Avenir" w:cs="Avenir"/>
          <w:lang w:val="es-ES"/>
        </w:rPr>
      </w:pPr>
    </w:p>
    <w:p w14:paraId="6C9DA67B"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Cada programa de Gobierno y de Gerencia de datos es único y siempre se deben tener en cuenta las características específicas de cada organización y su cultura.</w:t>
      </w:r>
    </w:p>
    <w:p w14:paraId="7708B5FD" w14:textId="77777777" w:rsidR="00553A52" w:rsidRPr="003010ED" w:rsidRDefault="00553A52">
      <w:pPr>
        <w:pBdr>
          <w:top w:val="nil"/>
          <w:left w:val="nil"/>
          <w:bottom w:val="nil"/>
          <w:right w:val="nil"/>
          <w:between w:val="nil"/>
        </w:pBdr>
        <w:spacing w:line="360" w:lineRule="auto"/>
        <w:ind w:left="707"/>
        <w:jc w:val="both"/>
        <w:rPr>
          <w:rFonts w:ascii="Avenir" w:eastAsia="Avenir" w:hAnsi="Avenir" w:cs="Avenir"/>
          <w:lang w:val="es-ES"/>
        </w:rPr>
      </w:pPr>
    </w:p>
    <w:p w14:paraId="243AAE1D"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Los mejores administradores de datos ya existen y rara vez son contratados. Deben ser elegidos entre aquellos que ya están involucrados con los datos en sus respectivas áreas (SME) y muestran interés en esta nueva forma de tratamiento de estos activos.</w:t>
      </w:r>
    </w:p>
    <w:p w14:paraId="7A36441B" w14:textId="77777777" w:rsidR="00553A52" w:rsidRPr="003010ED" w:rsidRDefault="00553A52">
      <w:pPr>
        <w:pBdr>
          <w:top w:val="nil"/>
          <w:left w:val="nil"/>
          <w:bottom w:val="nil"/>
          <w:right w:val="nil"/>
          <w:between w:val="nil"/>
        </w:pBdr>
        <w:spacing w:line="360" w:lineRule="auto"/>
        <w:ind w:left="707"/>
        <w:jc w:val="both"/>
        <w:rPr>
          <w:rFonts w:ascii="Avenir" w:eastAsia="Avenir" w:hAnsi="Avenir" w:cs="Avenir"/>
          <w:lang w:val="es-ES"/>
        </w:rPr>
      </w:pPr>
    </w:p>
    <w:p w14:paraId="0EDFBB25"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La toma de decisiones compartida es el sello distintivo del Gobierno de Datos, involucrando a las distintas capas definidas en su modelo operativo.</w:t>
      </w:r>
    </w:p>
    <w:p w14:paraId="381B2D52" w14:textId="77777777" w:rsidR="00553A52" w:rsidRPr="003010ED" w:rsidRDefault="00553A52">
      <w:pPr>
        <w:pBdr>
          <w:top w:val="nil"/>
          <w:left w:val="nil"/>
          <w:bottom w:val="nil"/>
          <w:right w:val="nil"/>
          <w:between w:val="nil"/>
        </w:pBdr>
        <w:spacing w:line="360" w:lineRule="auto"/>
        <w:ind w:left="707"/>
        <w:jc w:val="both"/>
        <w:rPr>
          <w:rFonts w:ascii="Avenir" w:eastAsia="Avenir" w:hAnsi="Avenir" w:cs="Avenir"/>
          <w:lang w:val="es-ES"/>
        </w:rPr>
      </w:pPr>
    </w:p>
    <w:p w14:paraId="05A66315"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Existe una separación implícita entre las funciones de GD (Gobierno de Datos) y Gerencia de Datos. El Comité de Gobierno de Datos, el Comité/Consejo de Administradores de Datos y los equipos de administradores llevan a cabo las responsabilidades "legislativas" (definen las políticas) y judiciales (juzgan su debida aplicación). Los equipos de Gerencia de datos (Bases de datos, BI, Seguridad, Calidad, Operaciones, etc.), en conjunto con los administradores de datos, realizan las funciones ejecutivas (aplicando, administrando, coordinando, sirviendo y protegiendo los datos) a través de los preceptos definidos por el Gobierno.</w:t>
      </w:r>
    </w:p>
    <w:p w14:paraId="5B33CA42" w14:textId="77777777" w:rsidR="00553A52" w:rsidRPr="003010ED" w:rsidRDefault="00553A52">
      <w:pPr>
        <w:pBdr>
          <w:top w:val="nil"/>
          <w:left w:val="nil"/>
          <w:bottom w:val="nil"/>
          <w:right w:val="nil"/>
          <w:between w:val="nil"/>
        </w:pBdr>
        <w:spacing w:line="360" w:lineRule="auto"/>
        <w:ind w:left="707"/>
        <w:jc w:val="both"/>
        <w:rPr>
          <w:rFonts w:ascii="Avenir" w:eastAsia="Avenir" w:hAnsi="Avenir" w:cs="Avenir"/>
          <w:lang w:val="es-ES"/>
        </w:rPr>
      </w:pPr>
    </w:p>
    <w:p w14:paraId="6CE33791"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La organización debe definir su modelo operativo de GD, que debe contener (en términos generales) una capa ejecutiva de apoyo de la alta dirección, que garantice patrocinio, inversión, etc.; un grupo que forma el Board de GD, compuesto por los gerentes senior, CDO y propietarios de datos, que se posicionan para la escalada final de problemas (</w:t>
      </w:r>
      <w:proofErr w:type="spellStart"/>
      <w:r w:rsidRPr="003010ED">
        <w:rPr>
          <w:lang w:val="es-ES"/>
        </w:rPr>
        <w:t>issues</w:t>
      </w:r>
      <w:proofErr w:type="spellEnd"/>
      <w:r w:rsidRPr="003010ED">
        <w:rPr>
          <w:lang w:val="es-ES"/>
        </w:rPr>
        <w:t>), seguido de un área táctica, donde se encuentran los líderes de los administradores de datos, y, por último, la capa operativa donde se posicionan los administradores de datos de negocio y de TI. Allí también se encuentran los Expertos (SME), algunos de los cuales se transforman en administradores de datos, investidos de funciones específicas de GD en sus respectivas unidades de negocio. Un grupo de implementación de GD (Oficina de Datos) estará alineado con esta capa, en la conducción de las actividades del día a día.</w:t>
      </w:r>
    </w:p>
    <w:p w14:paraId="63D79D99" w14:textId="77777777" w:rsidR="00553A52" w:rsidRPr="003010ED" w:rsidRDefault="00553A52">
      <w:pPr>
        <w:pBdr>
          <w:top w:val="nil"/>
          <w:left w:val="nil"/>
          <w:bottom w:val="nil"/>
          <w:right w:val="nil"/>
          <w:between w:val="nil"/>
        </w:pBdr>
        <w:spacing w:line="360" w:lineRule="auto"/>
        <w:ind w:left="707"/>
        <w:jc w:val="both"/>
        <w:rPr>
          <w:rFonts w:ascii="Avenir" w:eastAsia="Avenir" w:hAnsi="Avenir" w:cs="Avenir"/>
          <w:lang w:val="es-ES"/>
        </w:rPr>
      </w:pPr>
    </w:p>
    <w:p w14:paraId="61C5F463"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Cada empresa debe tener su estrategia de datos como guía para las actividades de Gobierno y de Gerencia de Datos en la organización. Por lo general, una estrategia de datos tiene los siguientes ingredientes:</w:t>
      </w:r>
    </w:p>
    <w:p w14:paraId="023D52D5"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Misión, lo que la organización pretende ser en términos de datos.</w:t>
      </w:r>
    </w:p>
    <w:p w14:paraId="059F7931"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Visión, la imagen del futuro.</w:t>
      </w:r>
    </w:p>
    <w:p w14:paraId="51F90F0A"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Objetivos generales y específicos, con todos los aspectos basados en los principales objetivos de datos del negocio.</w:t>
      </w:r>
    </w:p>
    <w:p w14:paraId="5AC2D2FB"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Alcance del programa estratégico de datos.</w:t>
      </w:r>
    </w:p>
    <w:p w14:paraId="7F24C85D"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Beneficios de negocio y cualquier brecha identificada en el estado actual del manejo de datos, mediante investigación o análisis de madurez.</w:t>
      </w:r>
    </w:p>
    <w:p w14:paraId="4127882E"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Responsabilidades y roles de alto nivel y lista de involucrados.</w:t>
      </w:r>
    </w:p>
    <w:p w14:paraId="24A011DF"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lastRenderedPageBreak/>
        <w:t>Alcance operativo del gobierno de datos.</w:t>
      </w:r>
    </w:p>
    <w:p w14:paraId="2BDA6497"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Enfoque utilizado para el desarrollo del programa de datos.</w:t>
      </w:r>
    </w:p>
    <w:p w14:paraId="7451C0C1" w14:textId="77777777" w:rsidR="00553A52" w:rsidRDefault="00000000">
      <w:pPr>
        <w:numPr>
          <w:ilvl w:val="1"/>
          <w:numId w:val="2"/>
        </w:numPr>
        <w:pBdr>
          <w:top w:val="nil"/>
          <w:left w:val="nil"/>
          <w:bottom w:val="nil"/>
          <w:right w:val="nil"/>
          <w:between w:val="nil"/>
        </w:pBdr>
        <w:spacing w:line="360" w:lineRule="auto"/>
        <w:jc w:val="both"/>
        <w:rPr>
          <w:rFonts w:ascii="Avenir" w:eastAsia="Avenir" w:hAnsi="Avenir" w:cs="Avenir"/>
        </w:rPr>
      </w:pPr>
      <w:r>
        <w:t xml:space="preserve">Medidas e indicadores para </w:t>
      </w:r>
      <w:proofErr w:type="spellStart"/>
      <w:r>
        <w:t>el</w:t>
      </w:r>
      <w:proofErr w:type="spellEnd"/>
      <w:r>
        <w:t xml:space="preserve"> </w:t>
      </w:r>
      <w:proofErr w:type="spellStart"/>
      <w:r>
        <w:t>seguimiento</w:t>
      </w:r>
      <w:proofErr w:type="spellEnd"/>
      <w:r>
        <w:t xml:space="preserve"> </w:t>
      </w:r>
      <w:proofErr w:type="spellStart"/>
      <w:r>
        <w:t>del</w:t>
      </w:r>
      <w:proofErr w:type="spellEnd"/>
      <w:r>
        <w:t xml:space="preserve"> programa.</w:t>
      </w:r>
    </w:p>
    <w:p w14:paraId="7F5CAC63"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proofErr w:type="spellStart"/>
      <w:r w:rsidRPr="003010ED">
        <w:rPr>
          <w:lang w:val="es-ES"/>
        </w:rPr>
        <w:t>Roadmap</w:t>
      </w:r>
      <w:proofErr w:type="spellEnd"/>
      <w:r w:rsidRPr="003010ED">
        <w:rPr>
          <w:lang w:val="es-ES"/>
        </w:rPr>
        <w:t xml:space="preserve"> de alto nivel, con los pasos principales a seguir.</w:t>
      </w:r>
    </w:p>
    <w:p w14:paraId="214E50F8" w14:textId="77777777" w:rsidR="00553A52" w:rsidRPr="003010ED" w:rsidRDefault="00553A52">
      <w:pPr>
        <w:pBdr>
          <w:top w:val="nil"/>
          <w:left w:val="nil"/>
          <w:bottom w:val="nil"/>
          <w:right w:val="nil"/>
          <w:between w:val="nil"/>
        </w:pBdr>
        <w:spacing w:line="360" w:lineRule="auto"/>
        <w:ind w:left="1103"/>
        <w:jc w:val="both"/>
        <w:rPr>
          <w:rFonts w:ascii="Avenir" w:eastAsia="Avenir" w:hAnsi="Avenir" w:cs="Avenir"/>
          <w:lang w:val="es-ES"/>
        </w:rPr>
      </w:pPr>
    </w:p>
    <w:p w14:paraId="54850F70" w14:textId="77777777" w:rsidR="00553A52" w:rsidRPr="003010ED" w:rsidRDefault="00000000">
      <w:pPr>
        <w:numPr>
          <w:ilvl w:val="0"/>
          <w:numId w:val="2"/>
        </w:numPr>
        <w:pBdr>
          <w:top w:val="nil"/>
          <w:left w:val="nil"/>
          <w:bottom w:val="nil"/>
          <w:right w:val="nil"/>
          <w:between w:val="nil"/>
        </w:pBdr>
        <w:spacing w:after="245" w:line="360" w:lineRule="auto"/>
        <w:jc w:val="both"/>
        <w:rPr>
          <w:lang w:val="es-ES"/>
        </w:rPr>
      </w:pPr>
      <w:r w:rsidRPr="003010ED">
        <w:rPr>
          <w:lang w:val="es-ES"/>
        </w:rPr>
        <w:t xml:space="preserve">Con el crecimiento de los conceptos de Big Data, Data </w:t>
      </w:r>
      <w:proofErr w:type="spellStart"/>
      <w:r w:rsidRPr="003010ED">
        <w:rPr>
          <w:lang w:val="es-ES"/>
        </w:rPr>
        <w:t>Science</w:t>
      </w:r>
      <w:proofErr w:type="spellEnd"/>
      <w:r w:rsidRPr="003010ED">
        <w:rPr>
          <w:lang w:val="es-ES"/>
        </w:rPr>
        <w:t xml:space="preserve"> e Inteligencia Artificial, la empresa debe establecer principios éticos sobre el uso de los datos, preservando aspectos de privacidad, seguridad, equidad y derechos, controlando su uso para evitar problemas a este nivel.</w:t>
      </w:r>
    </w:p>
    <w:p w14:paraId="0FAE1142" w14:textId="77777777" w:rsidR="00553A52" w:rsidRPr="003010ED" w:rsidRDefault="00000000">
      <w:pPr>
        <w:spacing w:after="160" w:line="259" w:lineRule="auto"/>
        <w:rPr>
          <w:rFonts w:ascii="Avenir" w:eastAsia="Avenir" w:hAnsi="Avenir" w:cs="Avenir"/>
          <w:lang w:val="es-ES"/>
        </w:rPr>
      </w:pPr>
      <w:r w:rsidRPr="003010ED">
        <w:rPr>
          <w:lang w:val="es-ES"/>
        </w:rPr>
        <w:br w:type="page"/>
      </w:r>
    </w:p>
    <w:p w14:paraId="23D8D517" w14:textId="77777777" w:rsidR="00553A52" w:rsidRPr="003010ED" w:rsidRDefault="00000000" w:rsidP="003010ED">
      <w:pPr>
        <w:pStyle w:val="Ttulo1"/>
      </w:pPr>
      <w:bookmarkStart w:id="1" w:name="_Toc239230023"/>
      <w:r w:rsidRPr="003010ED">
        <w:lastRenderedPageBreak/>
        <w:t>Políticas</w:t>
      </w:r>
      <w:bookmarkEnd w:id="1"/>
    </w:p>
    <w:p w14:paraId="50738B1A" w14:textId="77777777" w:rsidR="00553A52" w:rsidRPr="003010ED" w:rsidRDefault="00000000">
      <w:pPr>
        <w:rPr>
          <w:rFonts w:ascii="Avenir" w:eastAsia="Avenir" w:hAnsi="Avenir" w:cs="Avenir"/>
          <w:lang w:val="es-ES"/>
        </w:rPr>
      </w:pPr>
      <w:r w:rsidRPr="003010ED">
        <w:rPr>
          <w:lang w:val="es-ES"/>
        </w:rPr>
        <w:t>Son reglas objetivas, directas y regulatorias, aplicables para ajustar comportamientos, reducir riesgos, definir responsabilidades, etc. Pueden derivarse de los principios.</w:t>
      </w:r>
    </w:p>
    <w:p w14:paraId="7BAC43AD" w14:textId="77777777" w:rsidR="00553A52" w:rsidRPr="003010ED" w:rsidRDefault="00000000">
      <w:pPr>
        <w:rPr>
          <w:rFonts w:ascii="Avenir" w:eastAsia="Avenir" w:hAnsi="Avenir" w:cs="Avenir"/>
          <w:lang w:val="es-ES"/>
        </w:rPr>
      </w:pPr>
      <w:r w:rsidRPr="003010ED">
        <w:rPr>
          <w:lang w:val="es-ES"/>
        </w:rPr>
        <w:t>Es importante que las políticas se creen estrictamente para lograr controles objetivos, aplicables, utilizables y divulgados, evitando excesos y elementos burocráticos que generen impedimentos y desmotivación.</w:t>
      </w:r>
    </w:p>
    <w:p w14:paraId="1AAD3EE2" w14:textId="77777777" w:rsidR="00553A52" w:rsidRPr="003010ED" w:rsidRDefault="00553A52">
      <w:pPr>
        <w:rPr>
          <w:rFonts w:ascii="Avenir" w:eastAsia="Avenir" w:hAnsi="Avenir" w:cs="Avenir"/>
          <w:lang w:val="es-ES"/>
        </w:rPr>
      </w:pPr>
    </w:p>
    <w:p w14:paraId="03522179" w14:textId="77777777" w:rsidR="00553A52" w:rsidRPr="003010ED" w:rsidRDefault="00000000">
      <w:pPr>
        <w:rPr>
          <w:rFonts w:ascii="Avenir" w:eastAsia="Avenir" w:hAnsi="Avenir" w:cs="Avenir"/>
          <w:lang w:val="es-ES"/>
        </w:rPr>
      </w:pPr>
      <w:r w:rsidRPr="003010ED">
        <w:rPr>
          <w:lang w:val="es-ES"/>
        </w:rPr>
        <w:t>Las políticas deben crearse a partir de un proceso sencillo y, por lo general, se originan en legislaciones vigentes y directrices organizacionales. Deben enfocarse en objetivos y políticas de negocio, objetivos de datos, objetivos de Gobierno y Gerencia de datos, y aspectos culturales y estructurales.</w:t>
      </w:r>
    </w:p>
    <w:p w14:paraId="00DAC95F" w14:textId="77777777" w:rsidR="00553A52" w:rsidRPr="003010ED" w:rsidRDefault="00000000">
      <w:pPr>
        <w:numPr>
          <w:ilvl w:val="0"/>
          <w:numId w:val="2"/>
        </w:numPr>
        <w:pBdr>
          <w:top w:val="nil"/>
          <w:left w:val="nil"/>
          <w:bottom w:val="nil"/>
          <w:right w:val="nil"/>
          <w:between w:val="nil"/>
        </w:pBdr>
        <w:spacing w:before="240" w:line="360" w:lineRule="auto"/>
        <w:jc w:val="both"/>
        <w:rPr>
          <w:lang w:val="es-ES"/>
        </w:rPr>
      </w:pPr>
      <w:r w:rsidRPr="003010ED">
        <w:rPr>
          <w:lang w:val="es-ES"/>
        </w:rPr>
        <w:t xml:space="preserve">Objetivos de negocio: Definir políticas para que, en la búsqueda de los objetivos de negocio, se reduzcan los riesgos, involucrando las áreas de seguridad, </w:t>
      </w:r>
      <w:proofErr w:type="spellStart"/>
      <w:r w:rsidRPr="003010ED">
        <w:rPr>
          <w:lang w:val="es-ES"/>
        </w:rPr>
        <w:t>compliance</w:t>
      </w:r>
      <w:proofErr w:type="spellEnd"/>
      <w:r w:rsidRPr="003010ED">
        <w:rPr>
          <w:lang w:val="es-ES"/>
        </w:rPr>
        <w:t xml:space="preserve"> y regulación, datos sensibles, relaciones con clientes y socios, siempre dentro de principios éticos definidos.</w:t>
      </w:r>
    </w:p>
    <w:p w14:paraId="646BEDA5" w14:textId="77777777" w:rsidR="00553A52" w:rsidRPr="003010ED" w:rsidRDefault="00553A52">
      <w:pPr>
        <w:pBdr>
          <w:top w:val="nil"/>
          <w:left w:val="nil"/>
          <w:bottom w:val="nil"/>
          <w:right w:val="nil"/>
          <w:between w:val="nil"/>
        </w:pBdr>
        <w:spacing w:line="360" w:lineRule="auto"/>
        <w:ind w:left="707"/>
        <w:jc w:val="both"/>
        <w:rPr>
          <w:rFonts w:ascii="Avenir" w:eastAsia="Avenir" w:hAnsi="Avenir" w:cs="Avenir"/>
          <w:lang w:val="es-ES"/>
        </w:rPr>
      </w:pPr>
    </w:p>
    <w:p w14:paraId="1B88C341"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Objetivos de datos: Políticas para prevenir el uso inadecuado de datos, como replicaciones descontroladas, para garantizar la captura, almacenamiento, protección, seguridad y privacidad de datos, y políticas para promover el entendimiento y la disponibilidad.</w:t>
      </w:r>
    </w:p>
    <w:p w14:paraId="68B7660F" w14:textId="77777777" w:rsidR="00553A52" w:rsidRPr="003010ED" w:rsidRDefault="00553A52">
      <w:pPr>
        <w:pBdr>
          <w:top w:val="nil"/>
          <w:left w:val="nil"/>
          <w:bottom w:val="nil"/>
          <w:right w:val="nil"/>
          <w:between w:val="nil"/>
        </w:pBdr>
        <w:spacing w:line="360" w:lineRule="auto"/>
        <w:ind w:left="707"/>
        <w:jc w:val="both"/>
        <w:rPr>
          <w:rFonts w:ascii="Avenir" w:eastAsia="Avenir" w:hAnsi="Avenir" w:cs="Avenir"/>
          <w:lang w:val="es-ES"/>
        </w:rPr>
      </w:pPr>
    </w:p>
    <w:p w14:paraId="5ED3384C"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Objetivos de Gobierno y Gerencia de Datos: Políticas para el Gobierno, como cuerpo Legislativo y Judicial de los datos de la organización, y para los aspectos de ejecución asociados a TI.</w:t>
      </w:r>
    </w:p>
    <w:p w14:paraId="68239632" w14:textId="77777777" w:rsidR="00553A52" w:rsidRPr="003010ED" w:rsidRDefault="00553A52">
      <w:pPr>
        <w:pBdr>
          <w:top w:val="nil"/>
          <w:left w:val="nil"/>
          <w:bottom w:val="nil"/>
          <w:right w:val="nil"/>
          <w:between w:val="nil"/>
        </w:pBdr>
        <w:spacing w:line="360" w:lineRule="auto"/>
        <w:ind w:left="707"/>
        <w:jc w:val="both"/>
        <w:rPr>
          <w:rFonts w:ascii="Avenir" w:eastAsia="Avenir" w:hAnsi="Avenir" w:cs="Avenir"/>
          <w:lang w:val="es-ES"/>
        </w:rPr>
      </w:pPr>
    </w:p>
    <w:p w14:paraId="3845ED28" w14:textId="77777777" w:rsidR="00553A52" w:rsidRPr="003010ED" w:rsidRDefault="00000000">
      <w:pPr>
        <w:numPr>
          <w:ilvl w:val="0"/>
          <w:numId w:val="2"/>
        </w:numPr>
        <w:pBdr>
          <w:top w:val="nil"/>
          <w:left w:val="nil"/>
          <w:bottom w:val="nil"/>
          <w:right w:val="nil"/>
          <w:between w:val="nil"/>
        </w:pBdr>
        <w:spacing w:after="245" w:line="360" w:lineRule="auto"/>
        <w:jc w:val="both"/>
        <w:rPr>
          <w:lang w:val="es-ES"/>
        </w:rPr>
      </w:pPr>
      <w:r w:rsidRPr="003010ED">
        <w:rPr>
          <w:lang w:val="es-ES"/>
        </w:rPr>
        <w:t xml:space="preserve">Políticas para los diferentes elementos que forman los procesos de datos (cuerpos de conocimiento) como arquitectura de datos, desarrollo de datos, bases de datos, Big Data, </w:t>
      </w:r>
      <w:proofErr w:type="spellStart"/>
      <w:r w:rsidRPr="003010ED">
        <w:rPr>
          <w:lang w:val="es-ES"/>
        </w:rPr>
        <w:t>IoT</w:t>
      </w:r>
      <w:proofErr w:type="spellEnd"/>
      <w:r w:rsidRPr="003010ED">
        <w:rPr>
          <w:lang w:val="es-ES"/>
        </w:rPr>
        <w:t>, calidad de datos, DW/BI, Seguridad, Metadatos y la aplicación de inteligencia artificial.</w:t>
      </w:r>
    </w:p>
    <w:p w14:paraId="6DA7EE12" w14:textId="77777777" w:rsidR="00553A52" w:rsidRPr="003010ED" w:rsidRDefault="00000000">
      <w:pPr>
        <w:rPr>
          <w:rFonts w:ascii="Avenir" w:eastAsia="Avenir" w:hAnsi="Avenir" w:cs="Avenir"/>
          <w:lang w:val="es-ES"/>
        </w:rPr>
      </w:pPr>
      <w:r w:rsidRPr="003010ED">
        <w:rPr>
          <w:lang w:val="es-ES"/>
        </w:rPr>
        <w:t>Los datos básicos de una política son: identificación, definición (</w:t>
      </w:r>
      <w:proofErr w:type="spellStart"/>
      <w:r w:rsidRPr="003010ED">
        <w:rPr>
          <w:lang w:val="es-ES"/>
        </w:rPr>
        <w:t>statement</w:t>
      </w:r>
      <w:proofErr w:type="spellEnd"/>
      <w:r w:rsidRPr="003010ED">
        <w:rPr>
          <w:lang w:val="es-ES"/>
        </w:rPr>
        <w:t>), objetivo y fundamento, alcance, aplicabilidad y excepciones, monitoreo, violaciones y escalada, roles y responsabilidades, promulgación, validez y revisión, documentos adjuntos, procedimientos (si los hay) y contactos. El contenido de la Política debe adaptarse a cada empresa.</w:t>
      </w:r>
    </w:p>
    <w:p w14:paraId="5E6520DF" w14:textId="77777777" w:rsidR="00553A52" w:rsidRPr="003010ED" w:rsidRDefault="00000000">
      <w:pPr>
        <w:rPr>
          <w:rFonts w:ascii="Avenir" w:eastAsia="Avenir" w:hAnsi="Avenir" w:cs="Avenir"/>
          <w:lang w:val="es-ES"/>
        </w:rPr>
      </w:pPr>
      <w:r w:rsidRPr="003010ED">
        <w:rPr>
          <w:lang w:val="es-ES"/>
        </w:rPr>
        <w:t xml:space="preserve">En este enlace hay un ejemplo de la Política de Gobierno de Datos del </w:t>
      </w:r>
      <w:proofErr w:type="spellStart"/>
      <w:r w:rsidRPr="003010ED">
        <w:rPr>
          <w:lang w:val="es-ES"/>
        </w:rPr>
        <w:t>Sebrae</w:t>
      </w:r>
      <w:proofErr w:type="spellEnd"/>
      <w:r w:rsidRPr="003010ED">
        <w:rPr>
          <w:lang w:val="es-ES"/>
        </w:rPr>
        <w:t xml:space="preserve"> elaborada en 2022.</w:t>
      </w:r>
    </w:p>
    <w:p w14:paraId="68AB006C" w14:textId="77777777" w:rsidR="00553A52" w:rsidRDefault="00000000">
      <w:pPr>
        <w:rPr>
          <w:rFonts w:ascii="Avenir" w:eastAsia="Avenir" w:hAnsi="Avenir" w:cs="Avenir"/>
        </w:rPr>
      </w:pPr>
      <w:proofErr w:type="spellStart"/>
      <w:r>
        <w:t>Ejemplos</w:t>
      </w:r>
      <w:proofErr w:type="spellEnd"/>
      <w:r>
        <w:t xml:space="preserve"> de políticas:</w:t>
      </w:r>
    </w:p>
    <w:p w14:paraId="033C2147" w14:textId="77777777" w:rsidR="00553A52" w:rsidRDefault="00553A52">
      <w:pPr>
        <w:rPr>
          <w:rFonts w:ascii="Avenir" w:eastAsia="Avenir" w:hAnsi="Avenir" w:cs="Avenir"/>
        </w:rPr>
      </w:pPr>
    </w:p>
    <w:p w14:paraId="34D565CE" w14:textId="77777777" w:rsidR="00553A52" w:rsidRDefault="00553A52">
      <w:pPr>
        <w:rPr>
          <w:rFonts w:ascii="Avenir" w:eastAsia="Avenir" w:hAnsi="Avenir" w:cs="Avenir"/>
        </w:rPr>
      </w:pPr>
    </w:p>
    <w:p w14:paraId="79AF4E7A" w14:textId="77777777" w:rsidR="00553A52" w:rsidRDefault="00000000">
      <w:pPr>
        <w:numPr>
          <w:ilvl w:val="0"/>
          <w:numId w:val="2"/>
        </w:numPr>
        <w:pBdr>
          <w:top w:val="nil"/>
          <w:left w:val="nil"/>
          <w:bottom w:val="nil"/>
          <w:right w:val="nil"/>
          <w:between w:val="nil"/>
        </w:pBdr>
        <w:spacing w:before="240" w:line="360" w:lineRule="auto"/>
        <w:jc w:val="both"/>
      </w:pPr>
      <w:proofErr w:type="spellStart"/>
      <w:r>
        <w:t>Calidad</w:t>
      </w:r>
      <w:proofErr w:type="spellEnd"/>
      <w:r>
        <w:t>:</w:t>
      </w:r>
    </w:p>
    <w:p w14:paraId="55628978"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lastRenderedPageBreak/>
        <w:t>Toda la información y los datos de la empresa serán gestionados y medidos en su calidad de forma selectiva y gradual. La calidad se evaluará de manera consistente para garantizar que el dato se utilizará para su propósito definido. Habrá administradores de datos responsables de la integridad y calidad de los datos y sus contenidos a lo largo de las unidades organizacionales involucradas en el contexto del gobierno de datos.</w:t>
      </w:r>
    </w:p>
    <w:p w14:paraId="404090D8" w14:textId="77777777" w:rsidR="00553A52" w:rsidRPr="003010ED" w:rsidRDefault="00553A52">
      <w:pPr>
        <w:pBdr>
          <w:top w:val="nil"/>
          <w:left w:val="nil"/>
          <w:bottom w:val="nil"/>
          <w:right w:val="nil"/>
          <w:between w:val="nil"/>
        </w:pBdr>
        <w:spacing w:line="360" w:lineRule="auto"/>
        <w:ind w:left="1103"/>
        <w:jc w:val="both"/>
        <w:rPr>
          <w:rFonts w:ascii="Avenir" w:eastAsia="Avenir" w:hAnsi="Avenir" w:cs="Avenir"/>
          <w:color w:val="000000"/>
          <w:lang w:val="es-ES"/>
        </w:rPr>
      </w:pPr>
    </w:p>
    <w:p w14:paraId="0801768E"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Colaboración en el uso de los datos:</w:t>
      </w:r>
    </w:p>
    <w:p w14:paraId="3B2DCF06"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 xml:space="preserve">Los datos organizacionales se compartirán como un recurso en toda la empresa. Los datos deben tener </w:t>
      </w:r>
      <w:proofErr w:type="spellStart"/>
      <w:r w:rsidRPr="003010ED">
        <w:rPr>
          <w:lang w:val="es-ES"/>
        </w:rPr>
        <w:t>ownership</w:t>
      </w:r>
      <w:proofErr w:type="spellEnd"/>
      <w:r w:rsidRPr="003010ED">
        <w:rPr>
          <w:lang w:val="es-ES"/>
        </w:rPr>
        <w:t xml:space="preserve"> y </w:t>
      </w:r>
      <w:proofErr w:type="spellStart"/>
      <w:r w:rsidRPr="003010ED">
        <w:rPr>
          <w:lang w:val="es-ES"/>
        </w:rPr>
        <w:t>accountability</w:t>
      </w:r>
      <w:proofErr w:type="spellEnd"/>
      <w:r w:rsidRPr="003010ED">
        <w:rPr>
          <w:lang w:val="es-ES"/>
        </w:rPr>
        <w:t xml:space="preserve"> definidos, es decir, un área de negocios será la responsable final de su definición, estandarización, metadatos, calidad y reglas de negocio, con administradores de datos (</w:t>
      </w:r>
      <w:proofErr w:type="spellStart"/>
      <w:r w:rsidRPr="003010ED">
        <w:rPr>
          <w:lang w:val="es-ES"/>
        </w:rPr>
        <w:t>stewards</w:t>
      </w:r>
      <w:proofErr w:type="spellEnd"/>
      <w:r w:rsidRPr="003010ED">
        <w:rPr>
          <w:lang w:val="es-ES"/>
        </w:rPr>
        <w:t>) actuando con estos objetivos.</w:t>
      </w:r>
    </w:p>
    <w:p w14:paraId="676BDDD0" w14:textId="77777777" w:rsidR="00553A52" w:rsidRPr="003010ED" w:rsidRDefault="00553A52">
      <w:pPr>
        <w:pBdr>
          <w:top w:val="nil"/>
          <w:left w:val="nil"/>
          <w:bottom w:val="nil"/>
          <w:right w:val="nil"/>
          <w:between w:val="nil"/>
        </w:pBdr>
        <w:spacing w:line="360" w:lineRule="auto"/>
        <w:ind w:left="1103"/>
        <w:jc w:val="both"/>
        <w:rPr>
          <w:rFonts w:ascii="Avenir" w:eastAsia="Avenir" w:hAnsi="Avenir" w:cs="Avenir"/>
          <w:color w:val="000000"/>
          <w:lang w:val="es-ES"/>
        </w:rPr>
      </w:pPr>
    </w:p>
    <w:p w14:paraId="30295D17" w14:textId="77777777" w:rsidR="00553A52" w:rsidRDefault="00000000">
      <w:pPr>
        <w:numPr>
          <w:ilvl w:val="0"/>
          <w:numId w:val="2"/>
        </w:numPr>
        <w:pBdr>
          <w:top w:val="nil"/>
          <w:left w:val="nil"/>
          <w:bottom w:val="nil"/>
          <w:right w:val="nil"/>
          <w:between w:val="nil"/>
        </w:pBdr>
        <w:spacing w:line="360" w:lineRule="auto"/>
        <w:jc w:val="both"/>
      </w:pPr>
      <w:r>
        <w:t xml:space="preserve">Gestión de </w:t>
      </w:r>
      <w:proofErr w:type="spellStart"/>
      <w:r>
        <w:t>Riesgos</w:t>
      </w:r>
      <w:proofErr w:type="spellEnd"/>
      <w:r>
        <w:t>:</w:t>
      </w:r>
    </w:p>
    <w:p w14:paraId="3DE4FDBE"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 xml:space="preserve">El Gobierno de Datos, a través de la oficina de datos y el modelo operativo, monitoreará, junto al área responsable de la regulación de la empresa, el análisis de riesgos de los datos que requieran </w:t>
      </w:r>
      <w:proofErr w:type="spellStart"/>
      <w:r w:rsidRPr="003010ED">
        <w:rPr>
          <w:lang w:val="es-ES"/>
        </w:rPr>
        <w:t>compliance</w:t>
      </w:r>
      <w:proofErr w:type="spellEnd"/>
      <w:r w:rsidRPr="003010ED">
        <w:rPr>
          <w:lang w:val="es-ES"/>
        </w:rPr>
        <w:t>, garantizando su adherencia a todas las leyes federales, estatales, municipales, estatutarias, políticas y regulaciones. Se llevará a cabo un seguimiento adecuado y riguroso para verificar esta compatibilidad (adherencia). Los aspectos relacionados con la ética en el uso de datos serán monitoreados por el área de riesgos, especialmente en aplicaciones inferenciales de inteligencia artificial.</w:t>
      </w:r>
    </w:p>
    <w:p w14:paraId="14E73951" w14:textId="77777777" w:rsidR="00553A52" w:rsidRPr="003010ED" w:rsidRDefault="00553A52">
      <w:pPr>
        <w:pBdr>
          <w:top w:val="nil"/>
          <w:left w:val="nil"/>
          <w:bottom w:val="nil"/>
          <w:right w:val="nil"/>
          <w:between w:val="nil"/>
        </w:pBdr>
        <w:spacing w:line="360" w:lineRule="auto"/>
        <w:ind w:left="1103"/>
        <w:jc w:val="both"/>
        <w:rPr>
          <w:rFonts w:ascii="Avenir" w:eastAsia="Avenir" w:hAnsi="Avenir" w:cs="Avenir"/>
          <w:color w:val="000000"/>
          <w:lang w:val="es-ES"/>
        </w:rPr>
      </w:pPr>
    </w:p>
    <w:p w14:paraId="058EA35C" w14:textId="77777777" w:rsidR="00553A52" w:rsidRDefault="00000000">
      <w:pPr>
        <w:numPr>
          <w:ilvl w:val="0"/>
          <w:numId w:val="2"/>
        </w:numPr>
        <w:pBdr>
          <w:top w:val="nil"/>
          <w:left w:val="nil"/>
          <w:bottom w:val="nil"/>
          <w:right w:val="nil"/>
          <w:between w:val="nil"/>
        </w:pBdr>
        <w:spacing w:line="360" w:lineRule="auto"/>
        <w:jc w:val="both"/>
      </w:pPr>
      <w:proofErr w:type="spellStart"/>
      <w:r>
        <w:t>Seguridad</w:t>
      </w:r>
      <w:proofErr w:type="spellEnd"/>
      <w:r>
        <w:t>:</w:t>
      </w:r>
    </w:p>
    <w:p w14:paraId="4C1DA61C" w14:textId="77777777" w:rsidR="00553A52" w:rsidRPr="003010ED" w:rsidRDefault="00000000">
      <w:pPr>
        <w:numPr>
          <w:ilvl w:val="1"/>
          <w:numId w:val="2"/>
        </w:numPr>
        <w:pBdr>
          <w:top w:val="nil"/>
          <w:left w:val="nil"/>
          <w:bottom w:val="nil"/>
          <w:right w:val="nil"/>
          <w:between w:val="nil"/>
        </w:pBdr>
        <w:spacing w:after="245" w:line="360" w:lineRule="auto"/>
        <w:jc w:val="both"/>
        <w:rPr>
          <w:rFonts w:ascii="Avenir" w:eastAsia="Avenir" w:hAnsi="Avenir" w:cs="Avenir"/>
          <w:lang w:val="es-ES"/>
        </w:rPr>
      </w:pPr>
      <w:r w:rsidRPr="003010ED">
        <w:rPr>
          <w:lang w:val="es-ES"/>
        </w:rPr>
        <w:t>Todas las contraseñas (</w:t>
      </w:r>
      <w:proofErr w:type="spellStart"/>
      <w:r w:rsidRPr="003010ED">
        <w:rPr>
          <w:lang w:val="es-ES"/>
        </w:rPr>
        <w:t>passwords</w:t>
      </w:r>
      <w:proofErr w:type="spellEnd"/>
      <w:r w:rsidRPr="003010ED">
        <w:rPr>
          <w:lang w:val="es-ES"/>
        </w:rPr>
        <w:t>) deberán cambiarse cada tres meses, con una modificación completa de su contenido y la prohibición de utilizar las cuatro últimas incidencias.</w:t>
      </w:r>
    </w:p>
    <w:p w14:paraId="287A6806" w14:textId="77777777" w:rsidR="00553A52" w:rsidRPr="003010ED" w:rsidRDefault="00553A52">
      <w:pPr>
        <w:pBdr>
          <w:top w:val="nil"/>
          <w:left w:val="nil"/>
          <w:bottom w:val="nil"/>
          <w:right w:val="nil"/>
          <w:between w:val="nil"/>
        </w:pBdr>
        <w:spacing w:before="240" w:line="360" w:lineRule="auto"/>
        <w:jc w:val="both"/>
        <w:rPr>
          <w:rFonts w:ascii="Avenir" w:eastAsia="Avenir" w:hAnsi="Avenir" w:cs="Avenir"/>
          <w:lang w:val="es-ES"/>
        </w:rPr>
      </w:pPr>
    </w:p>
    <w:p w14:paraId="7AF57E93" w14:textId="77777777" w:rsidR="00553A52" w:rsidRDefault="00000000">
      <w:pPr>
        <w:numPr>
          <w:ilvl w:val="0"/>
          <w:numId w:val="2"/>
        </w:numPr>
        <w:pBdr>
          <w:top w:val="nil"/>
          <w:left w:val="nil"/>
          <w:bottom w:val="nil"/>
          <w:right w:val="nil"/>
          <w:between w:val="nil"/>
        </w:pBdr>
        <w:spacing w:before="240" w:line="360" w:lineRule="auto"/>
        <w:jc w:val="both"/>
      </w:pPr>
      <w:proofErr w:type="spellStart"/>
      <w:r>
        <w:t>Privacidad</w:t>
      </w:r>
      <w:proofErr w:type="spellEnd"/>
      <w:r>
        <w:t>:</w:t>
      </w:r>
    </w:p>
    <w:p w14:paraId="3705C9C9"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 xml:space="preserve">Los datos de la empresa que estén bajo el efecto regulatorio del GDPR/LGPD, Reglamento General de Protección de Datos de la Unión Europea o la LGPD de Brasil, deberán estar bajo el estricto control del gobierno de datos y de sus administradores responsables y merecerán un tratamiento especializado, vía CPO (Chief </w:t>
      </w:r>
      <w:proofErr w:type="spellStart"/>
      <w:r w:rsidRPr="003010ED">
        <w:rPr>
          <w:lang w:val="es-ES"/>
        </w:rPr>
        <w:t>Privacy</w:t>
      </w:r>
      <w:proofErr w:type="spellEnd"/>
      <w:r w:rsidRPr="003010ED">
        <w:rPr>
          <w:lang w:val="es-ES"/>
        </w:rPr>
        <w:t xml:space="preserve"> Officer), si corresponde.</w:t>
      </w:r>
    </w:p>
    <w:p w14:paraId="741AEB93" w14:textId="77777777" w:rsidR="00553A52" w:rsidRPr="003010ED" w:rsidRDefault="00553A52">
      <w:pPr>
        <w:pBdr>
          <w:top w:val="nil"/>
          <w:left w:val="nil"/>
          <w:bottom w:val="nil"/>
          <w:right w:val="nil"/>
          <w:between w:val="nil"/>
        </w:pBdr>
        <w:spacing w:line="360" w:lineRule="auto"/>
        <w:ind w:left="1103"/>
        <w:jc w:val="both"/>
        <w:rPr>
          <w:rFonts w:ascii="Avenir" w:eastAsia="Avenir" w:hAnsi="Avenir" w:cs="Avenir"/>
          <w:color w:val="000000"/>
          <w:lang w:val="es-ES"/>
        </w:rPr>
      </w:pPr>
    </w:p>
    <w:p w14:paraId="47CC5226" w14:textId="77777777" w:rsidR="00553A52" w:rsidRDefault="00000000">
      <w:pPr>
        <w:numPr>
          <w:ilvl w:val="0"/>
          <w:numId w:val="2"/>
        </w:numPr>
        <w:pBdr>
          <w:top w:val="nil"/>
          <w:left w:val="nil"/>
          <w:bottom w:val="nil"/>
          <w:right w:val="nil"/>
          <w:between w:val="nil"/>
        </w:pBdr>
        <w:spacing w:line="360" w:lineRule="auto"/>
        <w:jc w:val="both"/>
      </w:pPr>
      <w:proofErr w:type="spellStart"/>
      <w:r>
        <w:t>Arquitectura</w:t>
      </w:r>
      <w:proofErr w:type="spellEnd"/>
      <w:r>
        <w:t xml:space="preserve"> de </w:t>
      </w:r>
      <w:proofErr w:type="spellStart"/>
      <w:r>
        <w:t>Datos</w:t>
      </w:r>
      <w:proofErr w:type="spellEnd"/>
      <w:r>
        <w:t>:</w:t>
      </w:r>
    </w:p>
    <w:p w14:paraId="04785D71"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lastRenderedPageBreak/>
        <w:t>Los datos organizacionales se compartirán como un recurso en toda la empresa. Los datos organizacionales no son un recurso que pueda ser poseído exclusivamente por áreas específicas de la empresa.</w:t>
      </w:r>
    </w:p>
    <w:p w14:paraId="18A55F2B"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Todos los modelos de datos a nivel lógico deberán ser compatibles con los modelos conceptuales organizacionales y deberán ser aprobados según las políticas definidas para tal fin.</w:t>
      </w:r>
    </w:p>
    <w:p w14:paraId="1B40A10E" w14:textId="77777777" w:rsidR="00553A52" w:rsidRPr="003010ED" w:rsidRDefault="00553A52">
      <w:pPr>
        <w:pBdr>
          <w:top w:val="nil"/>
          <w:left w:val="nil"/>
          <w:bottom w:val="nil"/>
          <w:right w:val="nil"/>
          <w:between w:val="nil"/>
        </w:pBdr>
        <w:spacing w:line="360" w:lineRule="auto"/>
        <w:ind w:left="1103"/>
        <w:jc w:val="both"/>
        <w:rPr>
          <w:rFonts w:ascii="Avenir" w:eastAsia="Avenir" w:hAnsi="Avenir" w:cs="Avenir"/>
          <w:color w:val="000000"/>
          <w:lang w:val="es-ES"/>
        </w:rPr>
      </w:pPr>
    </w:p>
    <w:p w14:paraId="196F64EA" w14:textId="77777777" w:rsidR="00553A52" w:rsidRPr="003010ED" w:rsidRDefault="00000000">
      <w:pPr>
        <w:numPr>
          <w:ilvl w:val="0"/>
          <w:numId w:val="2"/>
        </w:numPr>
        <w:pBdr>
          <w:top w:val="nil"/>
          <w:left w:val="nil"/>
          <w:bottom w:val="nil"/>
          <w:right w:val="nil"/>
          <w:between w:val="nil"/>
        </w:pBdr>
        <w:spacing w:line="360" w:lineRule="auto"/>
        <w:jc w:val="both"/>
        <w:rPr>
          <w:lang w:val="es-ES"/>
        </w:rPr>
      </w:pPr>
      <w:r w:rsidRPr="003010ED">
        <w:rPr>
          <w:lang w:val="es-ES"/>
        </w:rPr>
        <w:t>Datos Maestros y de Referencia:</w:t>
      </w:r>
    </w:p>
    <w:p w14:paraId="617F1BC7"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 xml:space="preserve">Los datos considerados Maestros y de Referencia solo podrán ser modificados por los </w:t>
      </w:r>
      <w:proofErr w:type="spellStart"/>
      <w:r w:rsidRPr="003010ED">
        <w:rPr>
          <w:lang w:val="es-ES"/>
        </w:rPr>
        <w:t>Owners</w:t>
      </w:r>
      <w:proofErr w:type="spellEnd"/>
      <w:r w:rsidRPr="003010ED">
        <w:rPr>
          <w:lang w:val="es-ES"/>
        </w:rPr>
        <w:t xml:space="preserve"> y/o Administradores o, por excepción, por decisión del GD, a través del Comité de Administradores de Datos involucrados en las áreas temáticas pertinentes.</w:t>
      </w:r>
    </w:p>
    <w:p w14:paraId="64599907" w14:textId="77777777" w:rsidR="00553A52" w:rsidRPr="003010ED" w:rsidRDefault="00553A52">
      <w:pPr>
        <w:pBdr>
          <w:top w:val="nil"/>
          <w:left w:val="nil"/>
          <w:bottom w:val="nil"/>
          <w:right w:val="nil"/>
          <w:between w:val="nil"/>
        </w:pBdr>
        <w:spacing w:line="360" w:lineRule="auto"/>
        <w:ind w:left="1103"/>
        <w:jc w:val="both"/>
        <w:rPr>
          <w:rFonts w:ascii="Avenir" w:eastAsia="Avenir" w:hAnsi="Avenir" w:cs="Avenir"/>
          <w:color w:val="000000"/>
          <w:lang w:val="es-ES"/>
        </w:rPr>
      </w:pPr>
    </w:p>
    <w:p w14:paraId="5C50856C" w14:textId="77777777" w:rsidR="00553A52" w:rsidRDefault="00000000">
      <w:pPr>
        <w:numPr>
          <w:ilvl w:val="0"/>
          <w:numId w:val="2"/>
        </w:numPr>
        <w:pBdr>
          <w:top w:val="nil"/>
          <w:left w:val="nil"/>
          <w:bottom w:val="nil"/>
          <w:right w:val="nil"/>
          <w:between w:val="nil"/>
        </w:pBdr>
        <w:spacing w:line="360" w:lineRule="auto"/>
        <w:jc w:val="both"/>
      </w:pPr>
      <w:r>
        <w:t>Compliance:</w:t>
      </w:r>
    </w:p>
    <w:p w14:paraId="181B5EF2" w14:textId="77777777" w:rsidR="00553A52" w:rsidRPr="003010ED" w:rsidRDefault="00000000">
      <w:pPr>
        <w:numPr>
          <w:ilvl w:val="1"/>
          <w:numId w:val="2"/>
        </w:numPr>
        <w:pBdr>
          <w:top w:val="nil"/>
          <w:left w:val="nil"/>
          <w:bottom w:val="nil"/>
          <w:right w:val="nil"/>
          <w:between w:val="nil"/>
        </w:pBdr>
        <w:spacing w:after="245" w:line="360" w:lineRule="auto"/>
        <w:jc w:val="both"/>
        <w:rPr>
          <w:rFonts w:ascii="Avenir" w:eastAsia="Avenir" w:hAnsi="Avenir" w:cs="Avenir"/>
          <w:lang w:val="es-ES"/>
        </w:rPr>
      </w:pPr>
      <w:r w:rsidRPr="003010ED">
        <w:rPr>
          <w:lang w:val="es-ES"/>
        </w:rPr>
        <w:t xml:space="preserve">Las Políticas para normas regulatorias deben contemplar y reflexionar sobre: cuán relevante e importante es la norma para la organización; cómo es su interpretación; qué políticas y procedimientos están involucrados en la norma; si ya existen estándares que puedan ayudar; si la organización ya presenta un </w:t>
      </w:r>
      <w:proofErr w:type="spellStart"/>
      <w:r w:rsidRPr="003010ED">
        <w:rPr>
          <w:lang w:val="es-ES"/>
        </w:rPr>
        <w:t>compliance</w:t>
      </w:r>
      <w:proofErr w:type="spellEnd"/>
      <w:r w:rsidRPr="003010ED">
        <w:rPr>
          <w:lang w:val="es-ES"/>
        </w:rPr>
        <w:t xml:space="preserve"> actual con la norma; cómo se da esta conformidad; cómo deberá ser la conformidad en el futuro; cómo se demuestra y comprueba la conformidad; cómo monitorear los aspectos de conformidad; con qué frecuencia se revisará la norma; cómo identificar y reportar las no conformidades; cómo gestionar y corregir las no conformidades y cómo responder a rechazos o notificaciones sobre problemas de </w:t>
      </w:r>
      <w:proofErr w:type="spellStart"/>
      <w:r w:rsidRPr="003010ED">
        <w:rPr>
          <w:lang w:val="es-ES"/>
        </w:rPr>
        <w:t>compliance</w:t>
      </w:r>
      <w:proofErr w:type="spellEnd"/>
      <w:r w:rsidRPr="003010ED">
        <w:rPr>
          <w:lang w:val="es-ES"/>
        </w:rPr>
        <w:t>.</w:t>
      </w:r>
    </w:p>
    <w:p w14:paraId="6D16342A" w14:textId="77777777" w:rsidR="00553A52" w:rsidRPr="003010ED" w:rsidRDefault="00553A52">
      <w:pPr>
        <w:rPr>
          <w:rFonts w:ascii="Avenir" w:eastAsia="Avenir" w:hAnsi="Avenir" w:cs="Avenir"/>
          <w:lang w:val="es-ES"/>
        </w:rPr>
      </w:pPr>
    </w:p>
    <w:p w14:paraId="07DC2FB0" w14:textId="77777777" w:rsidR="00553A52" w:rsidRPr="003010ED" w:rsidRDefault="00000000">
      <w:pPr>
        <w:numPr>
          <w:ilvl w:val="0"/>
          <w:numId w:val="2"/>
        </w:numPr>
        <w:pBdr>
          <w:top w:val="nil"/>
          <w:left w:val="nil"/>
          <w:bottom w:val="nil"/>
          <w:right w:val="nil"/>
          <w:between w:val="nil"/>
        </w:pBdr>
        <w:spacing w:before="240" w:line="360" w:lineRule="auto"/>
        <w:jc w:val="both"/>
        <w:rPr>
          <w:lang w:val="es-ES"/>
        </w:rPr>
      </w:pPr>
      <w:r w:rsidRPr="003010ED">
        <w:rPr>
          <w:lang w:val="es-ES"/>
        </w:rPr>
        <w:t>Alineación con aspectos culturales y estructurales:</w:t>
      </w:r>
    </w:p>
    <w:p w14:paraId="251E334E" w14:textId="77777777" w:rsidR="00553A52" w:rsidRPr="003010ED" w:rsidRDefault="00000000">
      <w:pPr>
        <w:numPr>
          <w:ilvl w:val="1"/>
          <w:numId w:val="2"/>
        </w:numPr>
        <w:pBdr>
          <w:top w:val="nil"/>
          <w:left w:val="nil"/>
          <w:bottom w:val="nil"/>
          <w:right w:val="nil"/>
          <w:between w:val="nil"/>
        </w:pBdr>
        <w:spacing w:line="360" w:lineRule="auto"/>
        <w:jc w:val="both"/>
        <w:rPr>
          <w:rFonts w:ascii="Avenir" w:eastAsia="Avenir" w:hAnsi="Avenir" w:cs="Avenir"/>
          <w:lang w:val="es-ES"/>
        </w:rPr>
      </w:pPr>
      <w:r w:rsidRPr="003010ED">
        <w:rPr>
          <w:lang w:val="es-ES"/>
        </w:rPr>
        <w:t>Los aspectos relacionados con el valor de los datos, desde el punto de vista del negocio o del punto de vista del mercado y su posible monetización, deben revisarse periódicamente.</w:t>
      </w:r>
    </w:p>
    <w:p w14:paraId="12A2EBF0" w14:textId="77777777" w:rsidR="00553A52" w:rsidRPr="003010ED" w:rsidRDefault="00000000">
      <w:pPr>
        <w:numPr>
          <w:ilvl w:val="1"/>
          <w:numId w:val="2"/>
        </w:numPr>
        <w:pBdr>
          <w:top w:val="nil"/>
          <w:left w:val="nil"/>
          <w:bottom w:val="nil"/>
          <w:right w:val="nil"/>
          <w:between w:val="nil"/>
        </w:pBdr>
        <w:spacing w:after="245" w:line="360" w:lineRule="auto"/>
        <w:jc w:val="both"/>
        <w:rPr>
          <w:rFonts w:ascii="Avenir" w:eastAsia="Avenir" w:hAnsi="Avenir" w:cs="Avenir"/>
          <w:lang w:val="es-ES"/>
        </w:rPr>
      </w:pPr>
      <w:r w:rsidRPr="003010ED">
        <w:rPr>
          <w:lang w:val="es-ES"/>
        </w:rPr>
        <w:t>Dependiendo del tamaño y la geografía de la empresa, los aspectos relacionados con la centralización o descentralización de las funciones de GD, junto con la definición del contexto para la aplicación de sus definiciones, deben ser analizados y/o revisados.</w:t>
      </w:r>
    </w:p>
    <w:sectPr w:rsidR="00553A52" w:rsidRPr="003010ED">
      <w:headerReference w:type="even" r:id="rId7"/>
      <w:headerReference w:type="default" r:id="rId8"/>
      <w:footerReference w:type="even" r:id="rId9"/>
      <w:footerReference w:type="default" r:id="rId10"/>
      <w:headerReference w:type="first" r:id="rId11"/>
      <w:footerReference w:type="first" r:id="rId12"/>
      <w:pgSz w:w="11907" w:h="16839"/>
      <w:pgMar w:top="2207" w:right="1009" w:bottom="1276" w:left="1009" w:header="709" w:footer="3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57FAD" w14:textId="77777777" w:rsidR="00112A05" w:rsidRDefault="00112A05">
      <w:pPr>
        <w:spacing w:line="240" w:lineRule="auto"/>
      </w:pPr>
      <w:r>
        <w:separator/>
      </w:r>
    </w:p>
  </w:endnote>
  <w:endnote w:type="continuationSeparator" w:id="0">
    <w:p w14:paraId="7021FCE3" w14:textId="77777777" w:rsidR="00112A05" w:rsidRDefault="00112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C4E21BDA-7D29-444B-8263-043E0F36755A}"/>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0A9DF2F-802D-4E6C-A64E-07DF1F1088DE}"/>
  </w:font>
  <w:font w:name="Cambria">
    <w:panose1 w:val="02040503050406030204"/>
    <w:charset w:val="00"/>
    <w:family w:val="roman"/>
    <w:pitch w:val="variable"/>
    <w:sig w:usb0="E00006FF" w:usb1="420024FF" w:usb2="02000000" w:usb3="00000000" w:csb0="0000019F" w:csb1="00000000"/>
    <w:embedRegular r:id="rId3" w:fontKey="{0B927A38-A623-4B87-A725-D4901EE0DB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0815" w14:textId="77777777" w:rsidR="00B27867" w:rsidRDefault="00B2786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A2DB" w14:textId="77777777" w:rsidR="00B27867" w:rsidRPr="00B27867" w:rsidRDefault="00B27867" w:rsidP="00B27867">
    <w:pPr>
      <w:pStyle w:val="Rodap"/>
    </w:pPr>
    <w:r w:rsidRPr="00B27867">
      <w:t>© 2026 Data Governance Journey</w:t>
    </w:r>
    <w:r w:rsidRPr="00B27867">
      <w:tab/>
    </w:r>
    <w:r w:rsidRPr="00B27867">
      <w:tab/>
      <w:t>https://datagovjourney.com</w:t>
    </w:r>
  </w:p>
  <w:p w14:paraId="52766C83" w14:textId="77777777" w:rsidR="00B27867" w:rsidRDefault="00B2786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EF08" w14:textId="77777777" w:rsidR="00B27867" w:rsidRDefault="00B2786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AB0F8" w14:textId="77777777" w:rsidR="00112A05" w:rsidRDefault="00112A05">
      <w:pPr>
        <w:spacing w:line="240" w:lineRule="auto"/>
      </w:pPr>
      <w:r>
        <w:separator/>
      </w:r>
    </w:p>
  </w:footnote>
  <w:footnote w:type="continuationSeparator" w:id="0">
    <w:p w14:paraId="2EEDB9D9" w14:textId="77777777" w:rsidR="00112A05" w:rsidRDefault="00112A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800C" w14:textId="77777777" w:rsidR="00B27867" w:rsidRDefault="00B2786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4282" w14:textId="15D013C0" w:rsidR="00553A52" w:rsidRDefault="00F460EE">
    <w:pPr>
      <w:pBdr>
        <w:top w:val="nil"/>
        <w:left w:val="nil"/>
        <w:bottom w:val="nil"/>
        <w:right w:val="nil"/>
        <w:between w:val="nil"/>
      </w:pBdr>
      <w:tabs>
        <w:tab w:val="center" w:pos="4320"/>
        <w:tab w:val="right" w:pos="8640"/>
        <w:tab w:val="right" w:pos="9356"/>
      </w:tabs>
      <w:ind w:left="-708" w:right="-756"/>
    </w:pPr>
    <w:r w:rsidRPr="003F335C">
      <w:rPr>
        <w:noProof/>
      </w:rPr>
      <w:drawing>
        <wp:anchor distT="0" distB="0" distL="114300" distR="114300" simplePos="0" relativeHeight="251661312" behindDoc="0" locked="0" layoutInCell="1" allowOverlap="1" wp14:anchorId="6A926C36" wp14:editId="3053182B">
          <wp:simplePos x="0" y="0"/>
          <wp:positionH relativeFrom="page">
            <wp:posOffset>-142875</wp:posOffset>
          </wp:positionH>
          <wp:positionV relativeFrom="paragraph">
            <wp:posOffset>-448310</wp:posOffset>
          </wp:positionV>
          <wp:extent cx="7773670" cy="1314450"/>
          <wp:effectExtent l="0" t="0" r="0" b="0"/>
          <wp:wrapSquare wrapText="bothSides"/>
          <wp:docPr id="2945265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26515" name=""/>
                  <pic:cNvPicPr/>
                </pic:nvPicPr>
                <pic:blipFill>
                  <a:blip r:embed="rId1">
                    <a:extLst>
                      <a:ext uri="{28A0092B-C50C-407E-A947-70E740481C1C}">
                        <a14:useLocalDpi xmlns:a14="http://schemas.microsoft.com/office/drawing/2010/main" val="0"/>
                      </a:ext>
                    </a:extLst>
                  </a:blip>
                  <a:stretch>
                    <a:fillRect/>
                  </a:stretch>
                </pic:blipFill>
                <pic:spPr>
                  <a:xfrm>
                    <a:off x="0" y="0"/>
                    <a:ext cx="7773670" cy="13144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9478" w14:textId="77777777" w:rsidR="00553A52" w:rsidRDefault="00000000">
    <w:pPr>
      <w:keepNext/>
      <w:pBdr>
        <w:top w:val="nil"/>
        <w:left w:val="nil"/>
        <w:bottom w:val="nil"/>
        <w:right w:val="nil"/>
        <w:between w:val="nil"/>
      </w:pBdr>
      <w:tabs>
        <w:tab w:val="center" w:pos="4320"/>
        <w:tab w:val="right" w:pos="8640"/>
      </w:tabs>
      <w:spacing w:before="240" w:after="160" w:line="259" w:lineRule="auto"/>
      <w:jc w:val="both"/>
      <w:rPr>
        <w:rFonts w:ascii="Avenir" w:eastAsia="Avenir" w:hAnsi="Avenir" w:cs="Avenir"/>
        <w:color w:val="000000"/>
      </w:rPr>
    </w:pPr>
    <w:r>
      <w:rPr>
        <w:noProof/>
      </w:rPr>
      <w:drawing>
        <wp:anchor distT="114300" distB="114300" distL="114300" distR="114300" simplePos="0" relativeHeight="251659264" behindDoc="0" locked="0" layoutInCell="1" hidden="0" allowOverlap="1" wp14:anchorId="3E888C95" wp14:editId="1785FEF5">
          <wp:simplePos x="0" y="0"/>
          <wp:positionH relativeFrom="page">
            <wp:posOffset>-15711</wp:posOffset>
          </wp:positionH>
          <wp:positionV relativeFrom="page">
            <wp:posOffset>1270</wp:posOffset>
          </wp:positionV>
          <wp:extent cx="7591425" cy="140319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16297"/>
                  <a:stretch>
                    <a:fillRect/>
                  </a:stretch>
                </pic:blipFill>
                <pic:spPr>
                  <a:xfrm>
                    <a:off x="0" y="0"/>
                    <a:ext cx="7591425" cy="140319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3345E"/>
    <w:multiLevelType w:val="multilevel"/>
    <w:tmpl w:val="7C68330C"/>
    <w:lvl w:ilvl="0">
      <w:start w:val="1"/>
      <w:numFmt w:val="decimal"/>
      <w:lvlText w:val="%1."/>
      <w:lvlJc w:val="left"/>
      <w:pPr>
        <w:ind w:left="284" w:hanging="284"/>
      </w:pPr>
      <w:rPr>
        <w:rFonts w:ascii="Arial" w:eastAsia="Arial" w:hAnsi="Arial" w:cs="Arial"/>
        <w:b/>
        <w:bCs/>
        <w:i w:val="0"/>
        <w:iCs w:val="0"/>
        <w:strike w:val="0"/>
        <w:color w:val="17294A"/>
        <w:sz w:val="22"/>
        <w:szCs w:val="22"/>
        <w:u w:val="none"/>
        <w:shd w:val="clear" w:color="auto" w:fill="auto"/>
        <w:vertAlign w:val="baseline"/>
      </w:rPr>
    </w:lvl>
    <w:lvl w:ilvl="1">
      <w:start w:val="1"/>
      <w:numFmt w:val="lowerLetter"/>
      <w:lvlText w:val="%2"/>
      <w:lvlJc w:val="left"/>
      <w:pPr>
        <w:ind w:left="1214" w:hanging="1214"/>
      </w:pPr>
      <w:rPr>
        <w:rFonts w:ascii="Arial" w:eastAsia="Arial" w:hAnsi="Arial" w:cs="Arial"/>
        <w:b/>
        <w:bCs/>
        <w:i w:val="0"/>
        <w:iCs w:val="0"/>
        <w:strike w:val="0"/>
        <w:color w:val="17294A"/>
        <w:sz w:val="22"/>
        <w:szCs w:val="22"/>
        <w:u w:val="none"/>
        <w:shd w:val="clear" w:color="auto" w:fill="auto"/>
        <w:vertAlign w:val="baseline"/>
      </w:rPr>
    </w:lvl>
    <w:lvl w:ilvl="2">
      <w:start w:val="1"/>
      <w:numFmt w:val="lowerRoman"/>
      <w:lvlText w:val="%3"/>
      <w:lvlJc w:val="left"/>
      <w:pPr>
        <w:ind w:left="1934" w:hanging="1934"/>
      </w:pPr>
      <w:rPr>
        <w:rFonts w:ascii="Arial" w:eastAsia="Arial" w:hAnsi="Arial" w:cs="Arial"/>
        <w:b/>
        <w:bCs/>
        <w:i w:val="0"/>
        <w:iCs w:val="0"/>
        <w:strike w:val="0"/>
        <w:color w:val="17294A"/>
        <w:sz w:val="22"/>
        <w:szCs w:val="22"/>
        <w:u w:val="none"/>
        <w:shd w:val="clear" w:color="auto" w:fill="auto"/>
        <w:vertAlign w:val="baseline"/>
      </w:rPr>
    </w:lvl>
    <w:lvl w:ilvl="3">
      <w:start w:val="1"/>
      <w:numFmt w:val="decimal"/>
      <w:lvlText w:val="%4"/>
      <w:lvlJc w:val="left"/>
      <w:pPr>
        <w:ind w:left="2654" w:hanging="2654"/>
      </w:pPr>
      <w:rPr>
        <w:rFonts w:ascii="Arial" w:eastAsia="Arial" w:hAnsi="Arial" w:cs="Arial"/>
        <w:b/>
        <w:bCs/>
        <w:i w:val="0"/>
        <w:iCs w:val="0"/>
        <w:strike w:val="0"/>
        <w:color w:val="17294A"/>
        <w:sz w:val="22"/>
        <w:szCs w:val="22"/>
        <w:u w:val="none"/>
        <w:shd w:val="clear" w:color="auto" w:fill="auto"/>
        <w:vertAlign w:val="baseline"/>
      </w:rPr>
    </w:lvl>
    <w:lvl w:ilvl="4">
      <w:start w:val="1"/>
      <w:numFmt w:val="lowerLetter"/>
      <w:lvlText w:val="%5"/>
      <w:lvlJc w:val="left"/>
      <w:pPr>
        <w:ind w:left="3374" w:hanging="3374"/>
      </w:pPr>
      <w:rPr>
        <w:rFonts w:ascii="Arial" w:eastAsia="Arial" w:hAnsi="Arial" w:cs="Arial"/>
        <w:b/>
        <w:bCs/>
        <w:i w:val="0"/>
        <w:iCs w:val="0"/>
        <w:strike w:val="0"/>
        <w:color w:val="17294A"/>
        <w:sz w:val="22"/>
        <w:szCs w:val="22"/>
        <w:u w:val="none"/>
        <w:shd w:val="clear" w:color="auto" w:fill="auto"/>
        <w:vertAlign w:val="baseline"/>
      </w:rPr>
    </w:lvl>
    <w:lvl w:ilvl="5">
      <w:start w:val="1"/>
      <w:numFmt w:val="lowerRoman"/>
      <w:lvlText w:val="%6"/>
      <w:lvlJc w:val="left"/>
      <w:pPr>
        <w:ind w:left="4094" w:hanging="4094"/>
      </w:pPr>
      <w:rPr>
        <w:rFonts w:ascii="Arial" w:eastAsia="Arial" w:hAnsi="Arial" w:cs="Arial"/>
        <w:b/>
        <w:bCs/>
        <w:i w:val="0"/>
        <w:iCs w:val="0"/>
        <w:strike w:val="0"/>
        <w:color w:val="17294A"/>
        <w:sz w:val="22"/>
        <w:szCs w:val="22"/>
        <w:u w:val="none"/>
        <w:shd w:val="clear" w:color="auto" w:fill="auto"/>
        <w:vertAlign w:val="baseline"/>
      </w:rPr>
    </w:lvl>
    <w:lvl w:ilvl="6">
      <w:start w:val="1"/>
      <w:numFmt w:val="decimal"/>
      <w:lvlText w:val="%7"/>
      <w:lvlJc w:val="left"/>
      <w:pPr>
        <w:ind w:left="4814" w:hanging="4814"/>
      </w:pPr>
      <w:rPr>
        <w:rFonts w:ascii="Arial" w:eastAsia="Arial" w:hAnsi="Arial" w:cs="Arial"/>
        <w:b/>
        <w:bCs/>
        <w:i w:val="0"/>
        <w:iCs w:val="0"/>
        <w:strike w:val="0"/>
        <w:color w:val="17294A"/>
        <w:sz w:val="22"/>
        <w:szCs w:val="22"/>
        <w:u w:val="none"/>
        <w:shd w:val="clear" w:color="auto" w:fill="auto"/>
        <w:vertAlign w:val="baseline"/>
      </w:rPr>
    </w:lvl>
    <w:lvl w:ilvl="7">
      <w:start w:val="1"/>
      <w:numFmt w:val="lowerLetter"/>
      <w:lvlText w:val="%8"/>
      <w:lvlJc w:val="left"/>
      <w:pPr>
        <w:ind w:left="5534" w:hanging="5534"/>
      </w:pPr>
      <w:rPr>
        <w:rFonts w:ascii="Arial" w:eastAsia="Arial" w:hAnsi="Arial" w:cs="Arial"/>
        <w:b/>
        <w:bCs/>
        <w:i w:val="0"/>
        <w:iCs w:val="0"/>
        <w:strike w:val="0"/>
        <w:color w:val="17294A"/>
        <w:sz w:val="22"/>
        <w:szCs w:val="22"/>
        <w:u w:val="none"/>
        <w:shd w:val="clear" w:color="auto" w:fill="auto"/>
        <w:vertAlign w:val="baseline"/>
      </w:rPr>
    </w:lvl>
    <w:lvl w:ilvl="8">
      <w:start w:val="1"/>
      <w:numFmt w:val="lowerRoman"/>
      <w:lvlText w:val="%9"/>
      <w:lvlJc w:val="left"/>
      <w:pPr>
        <w:ind w:left="6254" w:hanging="6254"/>
      </w:pPr>
      <w:rPr>
        <w:rFonts w:ascii="Arial" w:eastAsia="Arial" w:hAnsi="Arial" w:cs="Arial"/>
        <w:b/>
        <w:bCs/>
        <w:i w:val="0"/>
        <w:iCs w:val="0"/>
        <w:strike w:val="0"/>
        <w:color w:val="17294A"/>
        <w:sz w:val="22"/>
        <w:szCs w:val="22"/>
        <w:u w:val="none"/>
        <w:shd w:val="clear" w:color="auto" w:fill="auto"/>
        <w:vertAlign w:val="baseline"/>
      </w:rPr>
    </w:lvl>
  </w:abstractNum>
  <w:abstractNum w:abstractNumId="1" w15:restartNumberingAfterBreak="0">
    <w:nsid w:val="60380BB3"/>
    <w:multiLevelType w:val="multilevel"/>
    <w:tmpl w:val="22184F9C"/>
    <w:lvl w:ilvl="0">
      <w:numFmt w:val="bullet"/>
      <w:lvlText w:val="•"/>
      <w:lvlJc w:val="left"/>
      <w:pPr>
        <w:ind w:left="707" w:hanging="684"/>
      </w:pPr>
      <w:rPr>
        <w:rFonts w:ascii="Avenir" w:eastAsia="Avenir" w:hAnsi="Avenir" w:cs="Avenir"/>
      </w:rPr>
    </w:lvl>
    <w:lvl w:ilvl="1">
      <w:start w:val="1"/>
      <w:numFmt w:val="bullet"/>
      <w:lvlText w:val="o"/>
      <w:lvlJc w:val="left"/>
      <w:pPr>
        <w:ind w:left="1103" w:hanging="360"/>
      </w:pPr>
      <w:rPr>
        <w:rFonts w:ascii="Courier New" w:eastAsia="Courier New" w:hAnsi="Courier New" w:cs="Courier New"/>
      </w:rPr>
    </w:lvl>
    <w:lvl w:ilvl="2">
      <w:start w:val="1"/>
      <w:numFmt w:val="bullet"/>
      <w:lvlText w:val="▪"/>
      <w:lvlJc w:val="left"/>
      <w:pPr>
        <w:ind w:left="1823" w:hanging="360"/>
      </w:pPr>
      <w:rPr>
        <w:rFonts w:ascii="Noto Sans Symbols" w:eastAsia="Noto Sans Symbols" w:hAnsi="Noto Sans Symbols" w:cs="Noto Sans Symbols"/>
      </w:rPr>
    </w:lvl>
    <w:lvl w:ilvl="3">
      <w:start w:val="1"/>
      <w:numFmt w:val="bullet"/>
      <w:lvlText w:val="●"/>
      <w:lvlJc w:val="left"/>
      <w:pPr>
        <w:ind w:left="2543" w:hanging="360"/>
      </w:pPr>
      <w:rPr>
        <w:rFonts w:ascii="Noto Sans Symbols" w:eastAsia="Noto Sans Symbols" w:hAnsi="Noto Sans Symbols" w:cs="Noto Sans Symbols"/>
      </w:rPr>
    </w:lvl>
    <w:lvl w:ilvl="4">
      <w:start w:val="1"/>
      <w:numFmt w:val="bullet"/>
      <w:lvlText w:val="o"/>
      <w:lvlJc w:val="left"/>
      <w:pPr>
        <w:ind w:left="3263" w:hanging="360"/>
      </w:pPr>
      <w:rPr>
        <w:rFonts w:ascii="Courier New" w:eastAsia="Courier New" w:hAnsi="Courier New" w:cs="Courier New"/>
      </w:rPr>
    </w:lvl>
    <w:lvl w:ilvl="5">
      <w:start w:val="1"/>
      <w:numFmt w:val="bullet"/>
      <w:lvlText w:val="▪"/>
      <w:lvlJc w:val="left"/>
      <w:pPr>
        <w:ind w:left="3983" w:hanging="360"/>
      </w:pPr>
      <w:rPr>
        <w:rFonts w:ascii="Noto Sans Symbols" w:eastAsia="Noto Sans Symbols" w:hAnsi="Noto Sans Symbols" w:cs="Noto Sans Symbols"/>
      </w:rPr>
    </w:lvl>
    <w:lvl w:ilvl="6">
      <w:start w:val="1"/>
      <w:numFmt w:val="bullet"/>
      <w:lvlText w:val="●"/>
      <w:lvlJc w:val="left"/>
      <w:pPr>
        <w:ind w:left="4703" w:hanging="360"/>
      </w:pPr>
      <w:rPr>
        <w:rFonts w:ascii="Noto Sans Symbols" w:eastAsia="Noto Sans Symbols" w:hAnsi="Noto Sans Symbols" w:cs="Noto Sans Symbols"/>
      </w:rPr>
    </w:lvl>
    <w:lvl w:ilvl="7">
      <w:start w:val="1"/>
      <w:numFmt w:val="bullet"/>
      <w:lvlText w:val="o"/>
      <w:lvlJc w:val="left"/>
      <w:pPr>
        <w:ind w:left="5423" w:hanging="360"/>
      </w:pPr>
      <w:rPr>
        <w:rFonts w:ascii="Courier New" w:eastAsia="Courier New" w:hAnsi="Courier New" w:cs="Courier New"/>
      </w:rPr>
    </w:lvl>
    <w:lvl w:ilvl="8">
      <w:start w:val="1"/>
      <w:numFmt w:val="bullet"/>
      <w:lvlText w:val="▪"/>
      <w:lvlJc w:val="left"/>
      <w:pPr>
        <w:ind w:left="6143" w:hanging="360"/>
      </w:pPr>
      <w:rPr>
        <w:rFonts w:ascii="Noto Sans Symbols" w:eastAsia="Noto Sans Symbols" w:hAnsi="Noto Sans Symbols" w:cs="Noto Sans Symbols"/>
      </w:rPr>
    </w:lvl>
  </w:abstractNum>
  <w:num w:numId="1" w16cid:durableId="356925803">
    <w:abstractNumId w:val="0"/>
  </w:num>
  <w:num w:numId="2" w16cid:durableId="2116512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A52"/>
    <w:rsid w:val="00112A05"/>
    <w:rsid w:val="003010ED"/>
    <w:rsid w:val="004E6286"/>
    <w:rsid w:val="00553A52"/>
    <w:rsid w:val="005D17AF"/>
    <w:rsid w:val="00642041"/>
    <w:rsid w:val="00971260"/>
    <w:rsid w:val="00990967"/>
    <w:rsid w:val="00B27867"/>
    <w:rsid w:val="00C6249C"/>
    <w:rsid w:val="00F460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6BF01"/>
  <w15:docId w15:val="{FF79B38E-D07F-4319-AB55-44C1576E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F460EE"/>
    <w:pPr>
      <w:tabs>
        <w:tab w:val="center" w:pos="4252"/>
        <w:tab w:val="right" w:pos="8504"/>
      </w:tabs>
      <w:spacing w:line="240" w:lineRule="auto"/>
    </w:pPr>
  </w:style>
  <w:style w:type="character" w:customStyle="1" w:styleId="CabealhoChar">
    <w:name w:val="Cabeçalho Char"/>
    <w:basedOn w:val="Fontepargpadro"/>
    <w:link w:val="Cabealho"/>
    <w:uiPriority w:val="99"/>
    <w:rsid w:val="00F460EE"/>
  </w:style>
  <w:style w:type="paragraph" w:styleId="Rodap">
    <w:name w:val="footer"/>
    <w:basedOn w:val="Normal"/>
    <w:link w:val="RodapChar"/>
    <w:uiPriority w:val="99"/>
    <w:unhideWhenUsed/>
    <w:rsid w:val="00F460EE"/>
    <w:pPr>
      <w:tabs>
        <w:tab w:val="center" w:pos="4252"/>
        <w:tab w:val="right" w:pos="8504"/>
      </w:tabs>
      <w:spacing w:line="240" w:lineRule="auto"/>
    </w:pPr>
  </w:style>
  <w:style w:type="character" w:customStyle="1" w:styleId="RodapChar">
    <w:name w:val="Rodapé Char"/>
    <w:basedOn w:val="Fontepargpadro"/>
    <w:link w:val="Rodap"/>
    <w:uiPriority w:val="99"/>
    <w:rsid w:val="00F460EE"/>
  </w:style>
  <w:style w:type="paragraph" w:styleId="CabealhodoSumrio">
    <w:name w:val="TOC Heading"/>
    <w:basedOn w:val="Ttulo1"/>
    <w:next w:val="Normal"/>
    <w:uiPriority w:val="39"/>
    <w:unhideWhenUsed/>
    <w:qFormat/>
    <w:rsid w:val="003010ED"/>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Sumrio1">
    <w:name w:val="toc 1"/>
    <w:basedOn w:val="Normal"/>
    <w:next w:val="Normal"/>
    <w:autoRedefine/>
    <w:uiPriority w:val="39"/>
    <w:unhideWhenUsed/>
    <w:rsid w:val="003010ED"/>
    <w:pPr>
      <w:spacing w:after="100"/>
    </w:pPr>
  </w:style>
  <w:style w:type="character" w:styleId="Hyperlink">
    <w:name w:val="Hyperlink"/>
    <w:basedOn w:val="Fontepargpadro"/>
    <w:uiPriority w:val="99"/>
    <w:unhideWhenUsed/>
    <w:rsid w:val="003010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1746</Words>
  <Characters>9429</Characters>
  <Application>Microsoft Office Word</Application>
  <DocSecurity>0</DocSecurity>
  <Lines>78</Lines>
  <Paragraphs>22</Paragraphs>
  <ScaleCrop>false</ScaleCrop>
  <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Sandy Bradbury</cp:lastModifiedBy>
  <cp:revision>5</cp:revision>
  <dcterms:created xsi:type="dcterms:W3CDTF">2026-08-04T11:21:00Z</dcterms:created>
  <dcterms:modified xsi:type="dcterms:W3CDTF">2026-09-02T11:26:00Z</dcterms:modified>
</cp:coreProperties>
</file>